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0D7148">
        <w:rPr>
          <w:rFonts w:ascii="Times New Roman" w:hAnsi="Times New Roman" w:cs="Times New Roman"/>
          <w:b/>
          <w:color w:val="000000"/>
          <w:sz w:val="28"/>
          <w:szCs w:val="28"/>
        </w:rPr>
        <w:t>5</w:t>
      </w:r>
      <w:r w:rsidR="00FE7969">
        <w:rPr>
          <w:rFonts w:ascii="Times New Roman" w:hAnsi="Times New Roman" w:cs="Times New Roman"/>
          <w:b/>
          <w:color w:val="000000"/>
          <w:sz w:val="28"/>
          <w:szCs w:val="28"/>
        </w:rPr>
        <w:t>/2019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9267D">
        <w:rPr>
          <w:rFonts w:ascii="Times New Roman" w:hAnsi="Times New Roman" w:cs="Times New Roman"/>
          <w:b/>
          <w:sz w:val="26"/>
          <w:szCs w:val="26"/>
        </w:rPr>
        <w:t>i, 2019</w:t>
      </w:r>
    </w:p>
    <w:p w:rsidR="00AC37BB" w:rsidRPr="00F74E5E" w:rsidRDefault="00AC37BB" w:rsidP="006A0A2F">
      <w:pPr>
        <w:spacing w:before="120" w:after="120" w:line="312" w:lineRule="auto"/>
        <w:jc w:val="center"/>
        <w:rPr>
          <w:rFonts w:ascii="Times New Roman" w:hAnsi="Times New Roman" w:cs="Times New Roman"/>
          <w:b/>
          <w:sz w:val="26"/>
          <w:szCs w:val="26"/>
        </w:rPr>
      </w:pPr>
      <w:r w:rsidRPr="00F74E5E">
        <w:rPr>
          <w:rFonts w:ascii="Times New Roman" w:hAnsi="Times New Roman" w:cs="Times New Roman"/>
          <w:b/>
          <w:sz w:val="26"/>
          <w:szCs w:val="26"/>
        </w:rPr>
        <w:lastRenderedPageBreak/>
        <w:t>MỤC LỤC</w:t>
      </w:r>
    </w:p>
    <w:p w:rsidR="00FF2E64" w:rsidRPr="00F74E5E" w:rsidRDefault="00FF2E64" w:rsidP="006A0A2F">
      <w:pPr>
        <w:spacing w:before="120" w:after="120" w:line="312" w:lineRule="auto"/>
        <w:jc w:val="center"/>
        <w:rPr>
          <w:rFonts w:ascii="Times New Roman" w:hAnsi="Times New Roman" w:cs="Times New Roman"/>
          <w:b/>
          <w:sz w:val="26"/>
          <w:szCs w:val="26"/>
        </w:rPr>
      </w:pPr>
    </w:p>
    <w:p w:rsidR="00F74E5E" w:rsidRPr="00F74E5E" w:rsidRDefault="004D1454">
      <w:pPr>
        <w:pStyle w:val="TOC1"/>
        <w:tabs>
          <w:tab w:val="left" w:pos="440"/>
          <w:tab w:val="right" w:leader="dot" w:pos="8630"/>
        </w:tabs>
        <w:rPr>
          <w:rFonts w:ascii="Times New Roman" w:hAnsi="Times New Roman" w:cs="Times New Roman"/>
          <w:noProof/>
          <w:sz w:val="26"/>
          <w:szCs w:val="26"/>
        </w:rPr>
      </w:pPr>
      <w:r w:rsidRPr="00F74E5E">
        <w:rPr>
          <w:rFonts w:ascii="Times New Roman" w:hAnsi="Times New Roman" w:cs="Times New Roman"/>
          <w:b/>
          <w:sz w:val="26"/>
          <w:szCs w:val="26"/>
        </w:rPr>
        <w:fldChar w:fldCharType="begin"/>
      </w:r>
      <w:r w:rsidR="00C45DE0" w:rsidRPr="00F74E5E">
        <w:rPr>
          <w:rFonts w:ascii="Times New Roman" w:hAnsi="Times New Roman" w:cs="Times New Roman"/>
          <w:b/>
          <w:sz w:val="26"/>
          <w:szCs w:val="26"/>
        </w:rPr>
        <w:instrText xml:space="preserve"> TOC \o "1-3" \h \z \u </w:instrText>
      </w:r>
      <w:r w:rsidRPr="00F74E5E">
        <w:rPr>
          <w:rFonts w:ascii="Times New Roman" w:hAnsi="Times New Roman" w:cs="Times New Roman"/>
          <w:b/>
          <w:sz w:val="26"/>
          <w:szCs w:val="26"/>
        </w:rPr>
        <w:fldChar w:fldCharType="separate"/>
      </w:r>
      <w:hyperlink w:anchor="_Toc10108623" w:history="1">
        <w:r w:rsidR="00F74E5E" w:rsidRPr="00F74E5E">
          <w:rPr>
            <w:rStyle w:val="Hyperlink"/>
            <w:rFonts w:ascii="Times New Roman" w:hAnsi="Times New Roman" w:cs="Times New Roman"/>
            <w:b/>
            <w:noProof/>
            <w:sz w:val="26"/>
            <w:szCs w:val="26"/>
          </w:rPr>
          <w:t>1.</w:t>
        </w:r>
        <w:r w:rsidR="00F74E5E" w:rsidRPr="00F74E5E">
          <w:rPr>
            <w:rFonts w:ascii="Times New Roman" w:hAnsi="Times New Roman" w:cs="Times New Roman"/>
            <w:noProof/>
            <w:sz w:val="26"/>
            <w:szCs w:val="26"/>
          </w:rPr>
          <w:tab/>
        </w:r>
        <w:r w:rsidR="00F74E5E" w:rsidRPr="00F74E5E">
          <w:rPr>
            <w:rStyle w:val="Hyperlink"/>
            <w:rFonts w:ascii="Times New Roman" w:hAnsi="Times New Roman" w:cs="Times New Roman"/>
            <w:b/>
            <w:noProof/>
            <w:sz w:val="26"/>
            <w:szCs w:val="26"/>
          </w:rPr>
          <w:t>Tình hình và xu hướng chung</w:t>
        </w:r>
        <w:r w:rsidR="00F74E5E" w:rsidRPr="00F74E5E">
          <w:rPr>
            <w:rFonts w:ascii="Times New Roman" w:hAnsi="Times New Roman" w:cs="Times New Roman"/>
            <w:noProof/>
            <w:webHidden/>
            <w:sz w:val="26"/>
            <w:szCs w:val="26"/>
          </w:rPr>
          <w:tab/>
        </w:r>
        <w:r w:rsidR="00F74E5E" w:rsidRPr="00F74E5E">
          <w:rPr>
            <w:rFonts w:ascii="Times New Roman" w:hAnsi="Times New Roman" w:cs="Times New Roman"/>
            <w:noProof/>
            <w:webHidden/>
            <w:sz w:val="26"/>
            <w:szCs w:val="26"/>
          </w:rPr>
          <w:fldChar w:fldCharType="begin"/>
        </w:r>
        <w:r w:rsidR="00F74E5E" w:rsidRPr="00F74E5E">
          <w:rPr>
            <w:rFonts w:ascii="Times New Roman" w:hAnsi="Times New Roman" w:cs="Times New Roman"/>
            <w:noProof/>
            <w:webHidden/>
            <w:sz w:val="26"/>
            <w:szCs w:val="26"/>
          </w:rPr>
          <w:instrText xml:space="preserve"> PAGEREF _Toc10108623 \h </w:instrText>
        </w:r>
        <w:r w:rsidR="00F74E5E" w:rsidRPr="00F74E5E">
          <w:rPr>
            <w:rFonts w:ascii="Times New Roman" w:hAnsi="Times New Roman" w:cs="Times New Roman"/>
            <w:noProof/>
            <w:webHidden/>
            <w:sz w:val="26"/>
            <w:szCs w:val="26"/>
          </w:rPr>
        </w:r>
        <w:r w:rsidR="00F74E5E"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2</w:t>
        </w:r>
        <w:r w:rsidR="00F74E5E"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24" w:history="1">
        <w:r w:rsidRPr="00F74E5E">
          <w:rPr>
            <w:rStyle w:val="Hyperlink"/>
            <w:rFonts w:ascii="Times New Roman" w:hAnsi="Times New Roman" w:cs="Times New Roman"/>
            <w:i/>
            <w:noProof/>
            <w:sz w:val="26"/>
            <w:szCs w:val="26"/>
          </w:rPr>
          <w:t>1.1.</w:t>
        </w:r>
        <w:r w:rsidRPr="00F74E5E">
          <w:rPr>
            <w:rFonts w:ascii="Times New Roman" w:hAnsi="Times New Roman" w:cs="Times New Roman"/>
            <w:noProof/>
            <w:sz w:val="26"/>
            <w:szCs w:val="26"/>
          </w:rPr>
          <w:tab/>
        </w:r>
        <w:r w:rsidRPr="00F74E5E">
          <w:rPr>
            <w:rStyle w:val="Hyperlink"/>
            <w:rFonts w:ascii="Times New Roman" w:hAnsi="Times New Roman" w:cs="Times New Roman"/>
            <w:i/>
            <w:noProof/>
            <w:sz w:val="26"/>
            <w:szCs w:val="26"/>
          </w:rPr>
          <w:t>Hoạt động logistics</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_Toc10108624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2</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25" w:history="1">
        <w:r w:rsidRPr="00F74E5E">
          <w:rPr>
            <w:rStyle w:val="Hyperlink"/>
            <w:rFonts w:ascii="Times New Roman" w:hAnsi="Times New Roman" w:cs="Times New Roman"/>
            <w:i/>
            <w:noProof/>
            <w:sz w:val="26"/>
            <w:szCs w:val="26"/>
          </w:rPr>
          <w:t>1.2.</w:t>
        </w:r>
        <w:r w:rsidRPr="00F74E5E">
          <w:rPr>
            <w:rFonts w:ascii="Times New Roman" w:hAnsi="Times New Roman" w:cs="Times New Roman"/>
            <w:noProof/>
            <w:sz w:val="26"/>
            <w:szCs w:val="26"/>
          </w:rPr>
          <w:tab/>
        </w:r>
        <w:r w:rsidRPr="00F74E5E">
          <w:rPr>
            <w:rStyle w:val="Hyperlink"/>
            <w:rFonts w:ascii="Times New Roman" w:hAnsi="Times New Roman" w:cs="Times New Roman"/>
            <w:i/>
            <w:noProof/>
            <w:sz w:val="26"/>
            <w:szCs w:val="26"/>
          </w:rPr>
          <w:t>Tình hình kinh tế, sản xuất, thương mại, đầu tư liên quan đến hoạt động logistics</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_Toc10108625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3</w:t>
        </w:r>
        <w:r w:rsidRPr="00F74E5E">
          <w:rPr>
            <w:rFonts w:ascii="Times New Roman" w:hAnsi="Times New Roman" w:cs="Times New Roman"/>
            <w:noProof/>
            <w:webHidden/>
            <w:sz w:val="26"/>
            <w:szCs w:val="26"/>
          </w:rPr>
          <w:fldChar w:fldCharType="end"/>
        </w:r>
      </w:hyperlink>
    </w:p>
    <w:p w:rsidR="00F74E5E" w:rsidRPr="00F74E5E" w:rsidRDefault="00F74E5E">
      <w:pPr>
        <w:pStyle w:val="TOC1"/>
        <w:tabs>
          <w:tab w:val="left" w:pos="440"/>
          <w:tab w:val="right" w:leader="dot" w:pos="8630"/>
        </w:tabs>
        <w:rPr>
          <w:rFonts w:ascii="Times New Roman" w:hAnsi="Times New Roman" w:cs="Times New Roman"/>
          <w:noProof/>
          <w:sz w:val="26"/>
          <w:szCs w:val="26"/>
        </w:rPr>
      </w:pPr>
      <w:hyperlink w:anchor="_Toc10108626" w:history="1">
        <w:r w:rsidRPr="00F74E5E">
          <w:rPr>
            <w:rStyle w:val="Hyperlink"/>
            <w:rFonts w:ascii="Times New Roman" w:hAnsi="Times New Roman" w:cs="Times New Roman"/>
            <w:b/>
            <w:noProof/>
            <w:sz w:val="26"/>
            <w:szCs w:val="26"/>
          </w:rPr>
          <w:t>2.</w:t>
        </w:r>
        <w:r w:rsidRPr="00F74E5E">
          <w:rPr>
            <w:rFonts w:ascii="Times New Roman" w:hAnsi="Times New Roman" w:cs="Times New Roman"/>
            <w:noProof/>
            <w:sz w:val="26"/>
            <w:szCs w:val="26"/>
          </w:rPr>
          <w:tab/>
        </w:r>
        <w:r w:rsidRPr="00F74E5E">
          <w:rPr>
            <w:rStyle w:val="Hyperlink"/>
            <w:rFonts w:ascii="Times New Roman" w:hAnsi="Times New Roman" w:cs="Times New Roman"/>
            <w:b/>
            <w:noProof/>
            <w:sz w:val="26"/>
            <w:szCs w:val="26"/>
          </w:rPr>
          <w:t>Thị trường logistics Singapore</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_Toc10108626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4</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27" w:history="1">
        <w:r w:rsidRPr="00F74E5E">
          <w:rPr>
            <w:rStyle w:val="Hyperlink"/>
            <w:rFonts w:ascii="Times New Roman" w:hAnsi="Times New Roman" w:cs="Times New Roman"/>
            <w:b/>
            <w:i/>
            <w:iCs/>
            <w:noProof/>
            <w:sz w:val="26"/>
            <w:szCs w:val="26"/>
          </w:rPr>
          <w:t>2.1.</w:t>
        </w:r>
        <w:r w:rsidRPr="00F74E5E">
          <w:rPr>
            <w:rFonts w:ascii="Times New Roman" w:hAnsi="Times New Roman" w:cs="Times New Roman"/>
            <w:noProof/>
            <w:sz w:val="26"/>
            <w:szCs w:val="26"/>
          </w:rPr>
          <w:tab/>
        </w:r>
        <w:r w:rsidRPr="00F74E5E">
          <w:rPr>
            <w:rStyle w:val="Hyperlink"/>
            <w:rFonts w:ascii="Times New Roman" w:hAnsi="Times New Roman" w:cs="Times New Roman"/>
            <w:b/>
            <w:i/>
            <w:iCs/>
            <w:noProof/>
            <w:sz w:val="26"/>
            <w:szCs w:val="26"/>
          </w:rPr>
          <w:t>Hoạt động vận tải và cảng biển</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_Toc10108627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4</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28" w:history="1">
        <w:r w:rsidRPr="00F74E5E">
          <w:rPr>
            <w:rStyle w:val="Hyperlink"/>
            <w:rFonts w:ascii="Times New Roman" w:hAnsi="Times New Roman" w:cs="Times New Roman"/>
            <w:b/>
            <w:i/>
            <w:iCs/>
            <w:noProof/>
            <w:sz w:val="26"/>
            <w:szCs w:val="26"/>
          </w:rPr>
          <w:t>2.2.</w:t>
        </w:r>
        <w:r w:rsidRPr="00F74E5E">
          <w:rPr>
            <w:rFonts w:ascii="Times New Roman" w:hAnsi="Times New Roman" w:cs="Times New Roman"/>
            <w:noProof/>
            <w:sz w:val="26"/>
            <w:szCs w:val="26"/>
          </w:rPr>
          <w:tab/>
        </w:r>
        <w:r w:rsidRPr="00F74E5E">
          <w:rPr>
            <w:rStyle w:val="Hyperlink"/>
            <w:rFonts w:ascii="Times New Roman" w:hAnsi="Times New Roman" w:cs="Times New Roman"/>
            <w:b/>
            <w:i/>
            <w:iCs/>
            <w:noProof/>
            <w:sz w:val="26"/>
            <w:szCs w:val="26"/>
          </w:rPr>
          <w:t>Kho bãi, giao nhận, logistics trong thương mại điện tử:</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_Toc10108628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6</w:t>
        </w:r>
        <w:r w:rsidRPr="00F74E5E">
          <w:rPr>
            <w:rFonts w:ascii="Times New Roman" w:hAnsi="Times New Roman" w:cs="Times New Roman"/>
            <w:noProof/>
            <w:webHidden/>
            <w:sz w:val="26"/>
            <w:szCs w:val="26"/>
          </w:rPr>
          <w:fldChar w:fldCharType="end"/>
        </w:r>
      </w:hyperlink>
    </w:p>
    <w:p w:rsidR="00F74E5E" w:rsidRPr="00F74E5E" w:rsidRDefault="00F74E5E">
      <w:pPr>
        <w:pStyle w:val="TOC1"/>
        <w:tabs>
          <w:tab w:val="left" w:pos="440"/>
          <w:tab w:val="right" w:leader="dot" w:pos="8630"/>
        </w:tabs>
        <w:rPr>
          <w:rFonts w:ascii="Times New Roman" w:hAnsi="Times New Roman" w:cs="Times New Roman"/>
          <w:noProof/>
          <w:sz w:val="26"/>
          <w:szCs w:val="26"/>
        </w:rPr>
      </w:pPr>
      <w:hyperlink w:anchor="_Toc10108629" w:history="1">
        <w:r w:rsidRPr="00F74E5E">
          <w:rPr>
            <w:rStyle w:val="Hyperlink"/>
            <w:rFonts w:ascii="Times New Roman" w:hAnsi="Times New Roman" w:cs="Times New Roman"/>
            <w:b/>
            <w:noProof/>
            <w:sz w:val="26"/>
            <w:szCs w:val="26"/>
          </w:rPr>
          <w:t>3.</w:t>
        </w:r>
        <w:r w:rsidRPr="00F74E5E">
          <w:rPr>
            <w:rFonts w:ascii="Times New Roman" w:hAnsi="Times New Roman" w:cs="Times New Roman"/>
            <w:noProof/>
            <w:sz w:val="26"/>
            <w:szCs w:val="26"/>
          </w:rPr>
          <w:tab/>
        </w:r>
        <w:r w:rsidRPr="00F74E5E">
          <w:rPr>
            <w:rStyle w:val="Hyperlink"/>
            <w:rFonts w:ascii="Times New Roman" w:hAnsi="Times New Roman" w:cs="Times New Roman"/>
            <w:b/>
            <w:noProof/>
            <w:sz w:val="26"/>
            <w:szCs w:val="26"/>
          </w:rPr>
          <w:t>Thị trường logistics Malaysia:</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_Toc10108629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8</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0" w:history="1">
        <w:r w:rsidRPr="00F74E5E">
          <w:rPr>
            <w:rStyle w:val="Hyperlink"/>
            <w:rFonts w:ascii="Times New Roman" w:hAnsi="Times New Roman" w:cs="Times New Roman"/>
            <w:b/>
            <w:i/>
            <w:noProof/>
            <w:sz w:val="26"/>
            <w:szCs w:val="26"/>
          </w:rPr>
          <w:t>3.1.</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Tình hình chung</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_Toc10108630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8</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1" w:history="1">
        <w:r w:rsidRPr="00F74E5E">
          <w:rPr>
            <w:rStyle w:val="Hyperlink"/>
            <w:rFonts w:ascii="Times New Roman" w:hAnsi="Times New Roman" w:cs="Times New Roman"/>
            <w:b/>
            <w:i/>
            <w:noProof/>
            <w:sz w:val="26"/>
            <w:szCs w:val="26"/>
          </w:rPr>
          <w:t>3.2.</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Vận tải, cảng biển</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_Toc10108631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9</w:t>
        </w:r>
        <w:r w:rsidRPr="00F74E5E">
          <w:rPr>
            <w:rFonts w:ascii="Times New Roman" w:hAnsi="Times New Roman" w:cs="Times New Roman"/>
            <w:noProof/>
            <w:webHidden/>
            <w:sz w:val="26"/>
            <w:szCs w:val="26"/>
          </w:rPr>
          <w:fldChar w:fldCharType="end"/>
        </w:r>
      </w:hyperlink>
    </w:p>
    <w:p w:rsidR="00F74E5E" w:rsidRPr="00F74E5E" w:rsidRDefault="00F74E5E">
      <w:pPr>
        <w:pStyle w:val="TOC1"/>
        <w:tabs>
          <w:tab w:val="left" w:pos="440"/>
          <w:tab w:val="right" w:leader="dot" w:pos="8630"/>
        </w:tabs>
        <w:rPr>
          <w:rFonts w:ascii="Times New Roman" w:hAnsi="Times New Roman" w:cs="Times New Roman"/>
          <w:noProof/>
          <w:sz w:val="26"/>
          <w:szCs w:val="26"/>
        </w:rPr>
      </w:pPr>
      <w:hyperlink w:anchor="_Toc10108632" w:history="1">
        <w:r w:rsidRPr="00F74E5E">
          <w:rPr>
            <w:rStyle w:val="Hyperlink"/>
            <w:rFonts w:ascii="Times New Roman" w:hAnsi="Times New Roman" w:cs="Times New Roman"/>
            <w:b/>
            <w:noProof/>
            <w:sz w:val="26"/>
            <w:szCs w:val="26"/>
          </w:rPr>
          <w:t>4.</w:t>
        </w:r>
        <w:r w:rsidRPr="00F74E5E">
          <w:rPr>
            <w:rFonts w:ascii="Times New Roman" w:hAnsi="Times New Roman" w:cs="Times New Roman"/>
            <w:noProof/>
            <w:sz w:val="26"/>
            <w:szCs w:val="26"/>
          </w:rPr>
          <w:tab/>
        </w:r>
        <w:r w:rsidRPr="00F74E5E">
          <w:rPr>
            <w:rStyle w:val="Hyperlink"/>
            <w:rFonts w:ascii="Times New Roman" w:hAnsi="Times New Roman" w:cs="Times New Roman"/>
            <w:b/>
            <w:noProof/>
            <w:sz w:val="26"/>
            <w:szCs w:val="26"/>
          </w:rPr>
          <w:t>Thị trường logistics Thái Lan:</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_Toc10108632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12</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3" w:history="1">
        <w:r w:rsidRPr="00F74E5E">
          <w:rPr>
            <w:rStyle w:val="Hyperlink"/>
            <w:rFonts w:ascii="Times New Roman" w:hAnsi="Times New Roman" w:cs="Times New Roman"/>
            <w:b/>
            <w:i/>
            <w:noProof/>
            <w:sz w:val="26"/>
            <w:szCs w:val="26"/>
          </w:rPr>
          <w:t>4.1.</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Phân tích sâu về thị trường logistics chuỗi lạnh của Thái Lan giai đoạn 2019-2022</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_Toc10108633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12</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4" w:history="1">
        <w:r w:rsidRPr="00F74E5E">
          <w:rPr>
            <w:rStyle w:val="Hyperlink"/>
            <w:rFonts w:ascii="Times New Roman" w:hAnsi="Times New Roman" w:cs="Times New Roman"/>
            <w:b/>
            <w:i/>
            <w:noProof/>
            <w:sz w:val="26"/>
            <w:szCs w:val="26"/>
          </w:rPr>
          <w:t>4.2.</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Các hãng hàng không giá rẻ có nhiều cơ hội ở thị trường hàng không Thái Lan</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_Toc10108634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16</w:t>
        </w:r>
        <w:r w:rsidRPr="00F74E5E">
          <w:rPr>
            <w:rFonts w:ascii="Times New Roman" w:hAnsi="Times New Roman" w:cs="Times New Roman"/>
            <w:noProof/>
            <w:webHidden/>
            <w:sz w:val="26"/>
            <w:szCs w:val="26"/>
          </w:rPr>
          <w:fldChar w:fldCharType="end"/>
        </w:r>
      </w:hyperlink>
    </w:p>
    <w:p w:rsidR="00F74E5E" w:rsidRPr="00F74E5E" w:rsidRDefault="00F74E5E">
      <w:pPr>
        <w:pStyle w:val="TOC1"/>
        <w:tabs>
          <w:tab w:val="left" w:pos="440"/>
          <w:tab w:val="right" w:leader="dot" w:pos="8630"/>
        </w:tabs>
        <w:rPr>
          <w:rFonts w:ascii="Times New Roman" w:hAnsi="Times New Roman" w:cs="Times New Roman"/>
          <w:noProof/>
          <w:sz w:val="26"/>
          <w:szCs w:val="26"/>
        </w:rPr>
      </w:pPr>
      <w:hyperlink w:anchor="_Toc10108635" w:history="1">
        <w:r w:rsidRPr="00F74E5E">
          <w:rPr>
            <w:rStyle w:val="Hyperlink"/>
            <w:rFonts w:ascii="Times New Roman" w:hAnsi="Times New Roman" w:cs="Times New Roman"/>
            <w:b/>
            <w:noProof/>
            <w:sz w:val="26"/>
            <w:szCs w:val="26"/>
          </w:rPr>
          <w:t>5.</w:t>
        </w:r>
        <w:r w:rsidRPr="00F74E5E">
          <w:rPr>
            <w:rFonts w:ascii="Times New Roman" w:hAnsi="Times New Roman" w:cs="Times New Roman"/>
            <w:noProof/>
            <w:sz w:val="26"/>
            <w:szCs w:val="26"/>
          </w:rPr>
          <w:tab/>
        </w:r>
        <w:r w:rsidRPr="00F74E5E">
          <w:rPr>
            <w:rStyle w:val="Hyperlink"/>
            <w:rFonts w:ascii="Times New Roman" w:hAnsi="Times New Roman" w:cs="Times New Roman"/>
            <w:b/>
            <w:noProof/>
            <w:sz w:val="26"/>
            <w:szCs w:val="26"/>
          </w:rPr>
          <w:t>Thị trường logistics của một số nước khác trong khu vực</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_Toc10108635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17</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6" w:history="1">
        <w:r w:rsidRPr="00F74E5E">
          <w:rPr>
            <w:rStyle w:val="Hyperlink"/>
            <w:rFonts w:ascii="Times New Roman" w:hAnsi="Times New Roman" w:cs="Times New Roman"/>
            <w:b/>
            <w:i/>
            <w:noProof/>
            <w:sz w:val="26"/>
            <w:szCs w:val="26"/>
          </w:rPr>
          <w:t>5.1.</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Lào</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_Toc10108636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17</w:t>
        </w:r>
        <w:r w:rsidRPr="00F74E5E">
          <w:rPr>
            <w:rFonts w:ascii="Times New Roman" w:hAnsi="Times New Roman" w:cs="Times New Roman"/>
            <w:noProof/>
            <w:webHidden/>
            <w:sz w:val="26"/>
            <w:szCs w:val="26"/>
          </w:rPr>
          <w:fldChar w:fldCharType="end"/>
        </w:r>
      </w:hyperlink>
    </w:p>
    <w:p w:rsidR="00F74E5E" w:rsidRPr="00F74E5E" w:rsidRDefault="00F74E5E">
      <w:pPr>
        <w:pStyle w:val="TOC2"/>
        <w:tabs>
          <w:tab w:val="left" w:pos="880"/>
          <w:tab w:val="right" w:leader="dot" w:pos="8630"/>
        </w:tabs>
        <w:rPr>
          <w:rFonts w:ascii="Times New Roman" w:hAnsi="Times New Roman" w:cs="Times New Roman"/>
          <w:noProof/>
          <w:sz w:val="26"/>
          <w:szCs w:val="26"/>
        </w:rPr>
      </w:pPr>
      <w:hyperlink w:anchor="_Toc10108637" w:history="1">
        <w:r w:rsidRPr="00F74E5E">
          <w:rPr>
            <w:rStyle w:val="Hyperlink"/>
            <w:rFonts w:ascii="Times New Roman" w:hAnsi="Times New Roman" w:cs="Times New Roman"/>
            <w:b/>
            <w:i/>
            <w:noProof/>
            <w:sz w:val="26"/>
            <w:szCs w:val="26"/>
          </w:rPr>
          <w:t>5.2.</w:t>
        </w:r>
        <w:r w:rsidRPr="00F74E5E">
          <w:rPr>
            <w:rFonts w:ascii="Times New Roman" w:hAnsi="Times New Roman" w:cs="Times New Roman"/>
            <w:noProof/>
            <w:sz w:val="26"/>
            <w:szCs w:val="26"/>
          </w:rPr>
          <w:tab/>
        </w:r>
        <w:r w:rsidRPr="00F74E5E">
          <w:rPr>
            <w:rStyle w:val="Hyperlink"/>
            <w:rFonts w:ascii="Times New Roman" w:hAnsi="Times New Roman" w:cs="Times New Roman"/>
            <w:b/>
            <w:i/>
            <w:noProof/>
            <w:sz w:val="26"/>
            <w:szCs w:val="26"/>
          </w:rPr>
          <w:t>Philipinnes</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_Toc10108637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4068A5">
          <w:rPr>
            <w:rFonts w:ascii="Times New Roman" w:hAnsi="Times New Roman" w:cs="Times New Roman"/>
            <w:noProof/>
            <w:webHidden/>
            <w:sz w:val="26"/>
            <w:szCs w:val="26"/>
          </w:rPr>
          <w:t>18</w:t>
        </w:r>
        <w:r w:rsidRPr="00F74E5E">
          <w:rPr>
            <w:rFonts w:ascii="Times New Roman" w:hAnsi="Times New Roman" w:cs="Times New Roman"/>
            <w:noProof/>
            <w:webHidden/>
            <w:sz w:val="26"/>
            <w:szCs w:val="26"/>
          </w:rPr>
          <w:fldChar w:fldCharType="end"/>
        </w:r>
      </w:hyperlink>
    </w:p>
    <w:p w:rsidR="00C45DE0" w:rsidRPr="00F74E5E" w:rsidRDefault="004D1454" w:rsidP="00D95EB0">
      <w:pPr>
        <w:spacing w:before="120" w:after="120" w:line="312" w:lineRule="auto"/>
        <w:jc w:val="center"/>
        <w:rPr>
          <w:rFonts w:ascii="Times New Roman" w:hAnsi="Times New Roman" w:cs="Times New Roman"/>
          <w:b/>
          <w:sz w:val="26"/>
          <w:szCs w:val="26"/>
        </w:rPr>
      </w:pPr>
      <w:r w:rsidRPr="00F74E5E">
        <w:rPr>
          <w:rFonts w:ascii="Times New Roman" w:hAnsi="Times New Roman" w:cs="Times New Roman"/>
          <w:b/>
          <w:sz w:val="26"/>
          <w:szCs w:val="26"/>
        </w:rPr>
        <w:fldChar w:fldCharType="end"/>
      </w:r>
    </w:p>
    <w:p w:rsidR="00C45DE0" w:rsidRPr="00F74E5E" w:rsidRDefault="00623FB2" w:rsidP="00623FB2">
      <w:pPr>
        <w:tabs>
          <w:tab w:val="left" w:pos="3301"/>
        </w:tabs>
        <w:spacing w:before="120" w:after="120" w:line="312" w:lineRule="auto"/>
        <w:rPr>
          <w:rFonts w:ascii="Times New Roman" w:hAnsi="Times New Roman" w:cs="Times New Roman"/>
          <w:b/>
          <w:sz w:val="26"/>
          <w:szCs w:val="26"/>
        </w:rPr>
      </w:pPr>
      <w:r w:rsidRPr="00F74E5E">
        <w:rPr>
          <w:rFonts w:ascii="Times New Roman" w:hAnsi="Times New Roman" w:cs="Times New Roman"/>
          <w:b/>
          <w:sz w:val="26"/>
          <w:szCs w:val="26"/>
        </w:rPr>
        <w:tab/>
      </w:r>
    </w:p>
    <w:p w:rsidR="00FF2E64" w:rsidRPr="00F74E5E" w:rsidRDefault="00C45DE0" w:rsidP="00623FB2">
      <w:pPr>
        <w:spacing w:before="120" w:after="120" w:line="312" w:lineRule="auto"/>
        <w:jc w:val="center"/>
        <w:rPr>
          <w:rFonts w:ascii="Times New Roman" w:hAnsi="Times New Roman" w:cs="Times New Roman"/>
          <w:b/>
          <w:sz w:val="26"/>
          <w:szCs w:val="26"/>
        </w:rPr>
      </w:pPr>
      <w:r w:rsidRPr="00F74E5E">
        <w:rPr>
          <w:rFonts w:ascii="Times New Roman" w:hAnsi="Times New Roman" w:cs="Times New Roman"/>
          <w:b/>
          <w:sz w:val="26"/>
          <w:szCs w:val="26"/>
        </w:rPr>
        <w:t>DANH MỤ</w:t>
      </w:r>
      <w:r w:rsidR="00623FB2" w:rsidRPr="00F74E5E">
        <w:rPr>
          <w:rFonts w:ascii="Times New Roman" w:hAnsi="Times New Roman" w:cs="Times New Roman"/>
          <w:b/>
          <w:sz w:val="26"/>
          <w:szCs w:val="26"/>
        </w:rPr>
        <w:t>C HÌNH</w:t>
      </w:r>
      <w:r w:rsidR="00623FB2" w:rsidRPr="00F74E5E">
        <w:rPr>
          <w:rFonts w:ascii="Times New Roman" w:hAnsi="Times New Roman" w:cs="Times New Roman"/>
          <w:b/>
          <w:sz w:val="26"/>
          <w:szCs w:val="26"/>
        </w:rPr>
        <w:tab/>
      </w:r>
    </w:p>
    <w:p w:rsidR="00F74E5E" w:rsidRPr="00F74E5E" w:rsidRDefault="004D1454">
      <w:pPr>
        <w:pStyle w:val="TableofFigures"/>
        <w:tabs>
          <w:tab w:val="right" w:leader="dot" w:pos="8630"/>
        </w:tabs>
        <w:rPr>
          <w:rFonts w:ascii="Times New Roman" w:hAnsi="Times New Roman" w:cs="Times New Roman"/>
          <w:noProof/>
          <w:sz w:val="26"/>
          <w:szCs w:val="26"/>
        </w:rPr>
      </w:pPr>
      <w:r w:rsidRPr="00F74E5E">
        <w:rPr>
          <w:rFonts w:ascii="Times New Roman" w:hAnsi="Times New Roman" w:cs="Times New Roman"/>
          <w:sz w:val="26"/>
          <w:szCs w:val="26"/>
        </w:rPr>
        <w:fldChar w:fldCharType="begin"/>
      </w:r>
      <w:r w:rsidR="00C45DE0" w:rsidRPr="00F74E5E">
        <w:rPr>
          <w:rFonts w:ascii="Times New Roman" w:hAnsi="Times New Roman" w:cs="Times New Roman"/>
          <w:sz w:val="26"/>
          <w:szCs w:val="26"/>
        </w:rPr>
        <w:instrText xml:space="preserve"> TOC \h \z \c "Hình" </w:instrText>
      </w:r>
      <w:r w:rsidRPr="00F74E5E">
        <w:rPr>
          <w:rFonts w:ascii="Times New Roman" w:hAnsi="Times New Roman" w:cs="Times New Roman"/>
          <w:sz w:val="26"/>
          <w:szCs w:val="26"/>
        </w:rPr>
        <w:fldChar w:fldCharType="separate"/>
      </w:r>
      <w:hyperlink w:anchor="_Toc10108638" w:history="1">
        <w:r w:rsidR="00F74E5E" w:rsidRPr="00F74E5E">
          <w:rPr>
            <w:rStyle w:val="Hyperlink"/>
            <w:rFonts w:ascii="Times New Roman" w:hAnsi="Times New Roman" w:cs="Times New Roman"/>
            <w:noProof/>
            <w:sz w:val="26"/>
            <w:szCs w:val="26"/>
          </w:rPr>
          <w:t>Hình 1: Số lượng tàu cập cảng biển Singapore qua các tháng</w:t>
        </w:r>
        <w:r w:rsidR="00F74E5E" w:rsidRPr="00F74E5E">
          <w:rPr>
            <w:rFonts w:ascii="Times New Roman" w:hAnsi="Times New Roman" w:cs="Times New Roman"/>
            <w:noProof/>
            <w:webHidden/>
            <w:sz w:val="26"/>
            <w:szCs w:val="26"/>
          </w:rPr>
          <w:tab/>
        </w:r>
        <w:r w:rsidR="00F74E5E" w:rsidRPr="00F74E5E">
          <w:rPr>
            <w:rFonts w:ascii="Times New Roman" w:hAnsi="Times New Roman" w:cs="Times New Roman"/>
            <w:noProof/>
            <w:webHidden/>
            <w:sz w:val="26"/>
            <w:szCs w:val="26"/>
          </w:rPr>
          <w:fldChar w:fldCharType="begin"/>
        </w:r>
        <w:r w:rsidR="00F74E5E" w:rsidRPr="00F74E5E">
          <w:rPr>
            <w:rFonts w:ascii="Times New Roman" w:hAnsi="Times New Roman" w:cs="Times New Roman"/>
            <w:noProof/>
            <w:webHidden/>
            <w:sz w:val="26"/>
            <w:szCs w:val="26"/>
          </w:rPr>
          <w:instrText xml:space="preserve"> PAGEREF _Toc10108638 \h </w:instrText>
        </w:r>
        <w:r w:rsidR="00F74E5E" w:rsidRPr="00F74E5E">
          <w:rPr>
            <w:rFonts w:ascii="Times New Roman" w:hAnsi="Times New Roman" w:cs="Times New Roman"/>
            <w:noProof/>
            <w:webHidden/>
            <w:sz w:val="26"/>
            <w:szCs w:val="26"/>
          </w:rPr>
        </w:r>
        <w:r w:rsidR="00F74E5E" w:rsidRPr="00F74E5E">
          <w:rPr>
            <w:rFonts w:ascii="Times New Roman" w:hAnsi="Times New Roman" w:cs="Times New Roman"/>
            <w:noProof/>
            <w:webHidden/>
            <w:sz w:val="26"/>
            <w:szCs w:val="26"/>
          </w:rPr>
          <w:fldChar w:fldCharType="separate"/>
        </w:r>
        <w:r w:rsidR="005D55B1">
          <w:rPr>
            <w:rFonts w:ascii="Times New Roman" w:hAnsi="Times New Roman" w:cs="Times New Roman"/>
            <w:noProof/>
            <w:webHidden/>
            <w:sz w:val="26"/>
            <w:szCs w:val="26"/>
          </w:rPr>
          <w:t>4</w:t>
        </w:r>
        <w:r w:rsidR="00F74E5E" w:rsidRPr="00F74E5E">
          <w:rPr>
            <w:rFonts w:ascii="Times New Roman" w:hAnsi="Times New Roman" w:cs="Times New Roman"/>
            <w:noProof/>
            <w:webHidden/>
            <w:sz w:val="26"/>
            <w:szCs w:val="26"/>
          </w:rPr>
          <w:fldChar w:fldCharType="end"/>
        </w:r>
      </w:hyperlink>
    </w:p>
    <w:p w:rsidR="00F74E5E" w:rsidRPr="00F74E5E" w:rsidRDefault="00F74E5E">
      <w:pPr>
        <w:pStyle w:val="TableofFigures"/>
        <w:tabs>
          <w:tab w:val="right" w:leader="dot" w:pos="8630"/>
        </w:tabs>
        <w:rPr>
          <w:rFonts w:ascii="Times New Roman" w:hAnsi="Times New Roman" w:cs="Times New Roman"/>
          <w:noProof/>
          <w:sz w:val="26"/>
          <w:szCs w:val="26"/>
        </w:rPr>
      </w:pPr>
      <w:hyperlink w:anchor="_Toc10108639" w:history="1">
        <w:r w:rsidRPr="00F74E5E">
          <w:rPr>
            <w:rStyle w:val="Hyperlink"/>
            <w:rFonts w:ascii="Times New Roman" w:hAnsi="Times New Roman" w:cs="Times New Roman"/>
            <w:noProof/>
            <w:sz w:val="26"/>
            <w:szCs w:val="26"/>
          </w:rPr>
          <w:t>Hình 2: Lượng hàng qua cảng Singapore các tháng</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_Toc10108639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5D55B1">
          <w:rPr>
            <w:rFonts w:ascii="Times New Roman" w:hAnsi="Times New Roman" w:cs="Times New Roman"/>
            <w:noProof/>
            <w:webHidden/>
            <w:sz w:val="26"/>
            <w:szCs w:val="26"/>
          </w:rPr>
          <w:t>5</w:t>
        </w:r>
        <w:r w:rsidRPr="00F74E5E">
          <w:rPr>
            <w:rFonts w:ascii="Times New Roman" w:hAnsi="Times New Roman" w:cs="Times New Roman"/>
            <w:noProof/>
            <w:webHidden/>
            <w:sz w:val="26"/>
            <w:szCs w:val="26"/>
          </w:rPr>
          <w:fldChar w:fldCharType="end"/>
        </w:r>
      </w:hyperlink>
    </w:p>
    <w:p w:rsidR="00F74E5E" w:rsidRPr="00F74E5E" w:rsidRDefault="00F74E5E">
      <w:pPr>
        <w:pStyle w:val="TableofFigures"/>
        <w:tabs>
          <w:tab w:val="right" w:leader="dot" w:pos="8630"/>
        </w:tabs>
        <w:rPr>
          <w:rFonts w:ascii="Times New Roman" w:hAnsi="Times New Roman" w:cs="Times New Roman"/>
          <w:noProof/>
          <w:sz w:val="26"/>
          <w:szCs w:val="26"/>
        </w:rPr>
      </w:pPr>
      <w:hyperlink w:anchor="_Toc10108640" w:history="1">
        <w:r w:rsidRPr="00F74E5E">
          <w:rPr>
            <w:rStyle w:val="Hyperlink"/>
            <w:rFonts w:ascii="Times New Roman" w:hAnsi="Times New Roman" w:cs="Times New Roman"/>
            <w:noProof/>
            <w:sz w:val="26"/>
            <w:szCs w:val="26"/>
          </w:rPr>
          <w:t>Hình 3: Lưu lượng container qua cảng biển của Singapore</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_Toc10108640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5D55B1">
          <w:rPr>
            <w:rFonts w:ascii="Times New Roman" w:hAnsi="Times New Roman" w:cs="Times New Roman"/>
            <w:noProof/>
            <w:webHidden/>
            <w:sz w:val="26"/>
            <w:szCs w:val="26"/>
          </w:rPr>
          <w:t>5</w:t>
        </w:r>
        <w:r w:rsidRPr="00F74E5E">
          <w:rPr>
            <w:rFonts w:ascii="Times New Roman" w:hAnsi="Times New Roman" w:cs="Times New Roman"/>
            <w:noProof/>
            <w:webHidden/>
            <w:sz w:val="26"/>
            <w:szCs w:val="26"/>
          </w:rPr>
          <w:fldChar w:fldCharType="end"/>
        </w:r>
      </w:hyperlink>
    </w:p>
    <w:p w:rsidR="00F74E5E" w:rsidRPr="00F74E5E" w:rsidRDefault="00F74E5E">
      <w:pPr>
        <w:pStyle w:val="TableofFigures"/>
        <w:tabs>
          <w:tab w:val="right" w:leader="dot" w:pos="8630"/>
        </w:tabs>
        <w:rPr>
          <w:rFonts w:ascii="Times New Roman" w:hAnsi="Times New Roman" w:cs="Times New Roman"/>
          <w:noProof/>
          <w:sz w:val="26"/>
          <w:szCs w:val="26"/>
        </w:rPr>
      </w:pPr>
      <w:hyperlink w:anchor="_Toc10108641" w:history="1">
        <w:r w:rsidRPr="00F74E5E">
          <w:rPr>
            <w:rStyle w:val="Hyperlink"/>
            <w:rFonts w:ascii="Times New Roman" w:hAnsi="Times New Roman" w:cs="Times New Roman"/>
            <w:noProof/>
            <w:sz w:val="26"/>
            <w:szCs w:val="26"/>
          </w:rPr>
          <w:t>Hình 4: Thị trường chuỗi lạnh Thái Lan (dự báo đến năm 2030)</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_Toc10108641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5D55B1">
          <w:rPr>
            <w:rFonts w:ascii="Times New Roman" w:hAnsi="Times New Roman" w:cs="Times New Roman"/>
            <w:noProof/>
            <w:webHidden/>
            <w:sz w:val="26"/>
            <w:szCs w:val="26"/>
          </w:rPr>
          <w:t>12</w:t>
        </w:r>
        <w:r w:rsidRPr="00F74E5E">
          <w:rPr>
            <w:rFonts w:ascii="Times New Roman" w:hAnsi="Times New Roman" w:cs="Times New Roman"/>
            <w:noProof/>
            <w:webHidden/>
            <w:sz w:val="26"/>
            <w:szCs w:val="26"/>
          </w:rPr>
          <w:fldChar w:fldCharType="end"/>
        </w:r>
      </w:hyperlink>
    </w:p>
    <w:p w:rsidR="00F74E5E" w:rsidRPr="00F74E5E" w:rsidRDefault="00F74E5E">
      <w:pPr>
        <w:pStyle w:val="TableofFigures"/>
        <w:tabs>
          <w:tab w:val="right" w:leader="dot" w:pos="8630"/>
        </w:tabs>
        <w:rPr>
          <w:rFonts w:ascii="Times New Roman" w:hAnsi="Times New Roman" w:cs="Times New Roman"/>
          <w:noProof/>
          <w:sz w:val="26"/>
          <w:szCs w:val="26"/>
        </w:rPr>
      </w:pPr>
      <w:hyperlink w:anchor="_Toc10108642" w:history="1">
        <w:r w:rsidRPr="00F74E5E">
          <w:rPr>
            <w:rStyle w:val="Hyperlink"/>
            <w:rFonts w:ascii="Times New Roman" w:hAnsi="Times New Roman" w:cs="Times New Roman"/>
            <w:noProof/>
            <w:sz w:val="26"/>
            <w:szCs w:val="26"/>
          </w:rPr>
          <w:t>Hình 5: Sáu thị trường quốc tế hàng đầu được xếp hạng theo tỷ lệ công suất quốc tế (% số ghế)</w:t>
        </w:r>
        <w:r w:rsidRPr="00F74E5E">
          <w:rPr>
            <w:rFonts w:ascii="Times New Roman" w:hAnsi="Times New Roman" w:cs="Times New Roman"/>
            <w:noProof/>
            <w:webHidden/>
            <w:sz w:val="26"/>
            <w:szCs w:val="26"/>
          </w:rPr>
          <w:tab/>
        </w:r>
        <w:r w:rsidRPr="00F74E5E">
          <w:rPr>
            <w:rFonts w:ascii="Times New Roman" w:hAnsi="Times New Roman" w:cs="Times New Roman"/>
            <w:noProof/>
            <w:webHidden/>
            <w:sz w:val="26"/>
            <w:szCs w:val="26"/>
          </w:rPr>
          <w:fldChar w:fldCharType="begin"/>
        </w:r>
        <w:r w:rsidRPr="00F74E5E">
          <w:rPr>
            <w:rFonts w:ascii="Times New Roman" w:hAnsi="Times New Roman" w:cs="Times New Roman"/>
            <w:noProof/>
            <w:webHidden/>
            <w:sz w:val="26"/>
            <w:szCs w:val="26"/>
          </w:rPr>
          <w:instrText xml:space="preserve"> PAGEREF _Toc10108642 \h </w:instrText>
        </w:r>
        <w:r w:rsidRPr="00F74E5E">
          <w:rPr>
            <w:rFonts w:ascii="Times New Roman" w:hAnsi="Times New Roman" w:cs="Times New Roman"/>
            <w:noProof/>
            <w:webHidden/>
            <w:sz w:val="26"/>
            <w:szCs w:val="26"/>
          </w:rPr>
        </w:r>
        <w:r w:rsidRPr="00F74E5E">
          <w:rPr>
            <w:rFonts w:ascii="Times New Roman" w:hAnsi="Times New Roman" w:cs="Times New Roman"/>
            <w:noProof/>
            <w:webHidden/>
            <w:sz w:val="26"/>
            <w:szCs w:val="26"/>
          </w:rPr>
          <w:fldChar w:fldCharType="separate"/>
        </w:r>
        <w:r w:rsidR="005D55B1">
          <w:rPr>
            <w:rFonts w:ascii="Times New Roman" w:hAnsi="Times New Roman" w:cs="Times New Roman"/>
            <w:noProof/>
            <w:webHidden/>
            <w:sz w:val="26"/>
            <w:szCs w:val="26"/>
          </w:rPr>
          <w:t>19</w:t>
        </w:r>
        <w:r w:rsidRPr="00F74E5E">
          <w:rPr>
            <w:rFonts w:ascii="Times New Roman" w:hAnsi="Times New Roman" w:cs="Times New Roman"/>
            <w:noProof/>
            <w:webHidden/>
            <w:sz w:val="26"/>
            <w:szCs w:val="26"/>
          </w:rPr>
          <w:fldChar w:fldCharType="end"/>
        </w:r>
      </w:hyperlink>
    </w:p>
    <w:p w:rsidR="00FF7148" w:rsidRPr="005D55B1" w:rsidRDefault="004D1454" w:rsidP="00623FB2">
      <w:pPr>
        <w:spacing w:before="120" w:after="120" w:line="312" w:lineRule="auto"/>
        <w:rPr>
          <w:rFonts w:ascii="Times New Roman" w:hAnsi="Times New Roman" w:cs="Times New Roman"/>
          <w:sz w:val="26"/>
          <w:szCs w:val="26"/>
        </w:rPr>
      </w:pPr>
      <w:r w:rsidRPr="00F74E5E">
        <w:rPr>
          <w:rFonts w:ascii="Times New Roman" w:hAnsi="Times New Roman" w:cs="Times New Roman"/>
          <w:sz w:val="26"/>
          <w:szCs w:val="26"/>
        </w:rPr>
        <w:fldChar w:fldCharType="end"/>
      </w: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0" w:name="_Toc10108623"/>
      <w:bookmarkStart w:id="1" w:name="_GoBack"/>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0"/>
    </w:p>
    <w:p w:rsidR="00747215" w:rsidRDefault="00873A76" w:rsidP="0069267D">
      <w:pPr>
        <w:pStyle w:val="Heading2"/>
        <w:numPr>
          <w:ilvl w:val="1"/>
          <w:numId w:val="1"/>
        </w:numPr>
        <w:spacing w:before="120" w:after="120" w:line="312" w:lineRule="auto"/>
        <w:rPr>
          <w:rFonts w:ascii="Times New Roman" w:hAnsi="Times New Roman" w:cs="Times New Roman"/>
          <w:i/>
        </w:rPr>
      </w:pPr>
      <w:bookmarkStart w:id="2" w:name="_Toc10108624"/>
      <w:r w:rsidRPr="00D95EB0">
        <w:rPr>
          <w:rFonts w:ascii="Times New Roman" w:hAnsi="Times New Roman" w:cs="Times New Roman"/>
          <w:i/>
        </w:rPr>
        <w:t>Hoạt động logistics</w:t>
      </w:r>
      <w:bookmarkEnd w:id="2"/>
    </w:p>
    <w:p w:rsidR="00E751FA" w:rsidRPr="00E751FA" w:rsidRDefault="00E751FA" w:rsidP="00E751FA">
      <w:pPr>
        <w:spacing w:before="120" w:after="120" w:line="312" w:lineRule="auto"/>
        <w:ind w:firstLine="720"/>
        <w:jc w:val="both"/>
        <w:rPr>
          <w:rFonts w:ascii="Times New Roman" w:hAnsi="Times New Roman" w:cs="Times New Roman"/>
          <w:sz w:val="26"/>
          <w:szCs w:val="26"/>
        </w:rPr>
      </w:pPr>
      <w:r w:rsidRPr="00E751FA">
        <w:rPr>
          <w:rFonts w:ascii="Times New Roman" w:hAnsi="Times New Roman" w:cs="Times New Roman"/>
          <w:sz w:val="26"/>
          <w:szCs w:val="26"/>
        </w:rPr>
        <w:t>Theo báo cáo Thị trường kho vận và phân phối ASEAN - Tăng trưởng, xu hướng và dự báo (2019 - 2024) được phát hành bởi Reportlinker vào cuối tháng 5/2019</w:t>
      </w:r>
      <w:r w:rsidR="00F74E5E">
        <w:rPr>
          <w:rFonts w:ascii="Times New Roman" w:hAnsi="Times New Roman" w:cs="Times New Roman"/>
          <w:sz w:val="26"/>
          <w:szCs w:val="26"/>
        </w:rPr>
        <w:t>, một số xu hướng nổi bật trên thị trường logistics ASEAN như sau:</w:t>
      </w:r>
    </w:p>
    <w:p w:rsidR="00F74E5E" w:rsidRDefault="00E751FA" w:rsidP="00E751FA">
      <w:pPr>
        <w:spacing w:before="120" w:after="120" w:line="312" w:lineRule="auto"/>
        <w:ind w:firstLine="720"/>
        <w:jc w:val="both"/>
        <w:rPr>
          <w:rFonts w:ascii="Times New Roman" w:hAnsi="Times New Roman" w:cs="Times New Roman"/>
          <w:sz w:val="26"/>
          <w:szCs w:val="26"/>
        </w:rPr>
      </w:pPr>
      <w:r w:rsidRPr="00E751FA">
        <w:rPr>
          <w:rFonts w:ascii="Times New Roman" w:hAnsi="Times New Roman" w:cs="Times New Roman"/>
          <w:sz w:val="26"/>
          <w:szCs w:val="26"/>
        </w:rPr>
        <w:t xml:space="preserve">Thị trường </w:t>
      </w:r>
      <w:r w:rsidR="004068A5">
        <w:rPr>
          <w:rFonts w:ascii="Times New Roman" w:hAnsi="Times New Roman" w:cs="Times New Roman"/>
          <w:sz w:val="26"/>
          <w:szCs w:val="26"/>
        </w:rPr>
        <w:t>logistics</w:t>
      </w:r>
      <w:r w:rsidRPr="00E751FA">
        <w:rPr>
          <w:rFonts w:ascii="Times New Roman" w:hAnsi="Times New Roman" w:cs="Times New Roman"/>
          <w:sz w:val="26"/>
          <w:szCs w:val="26"/>
        </w:rPr>
        <w:t xml:space="preserve"> và phân phối ASEAN được ước tính sẽ chứng kiến sự tăng trưởng mạnh mẽ trong giai đoạn dự báo, do nhu cầu mở rộng lĩnh vực thương mại điện tử. Các yếu tố thúc đẩy sự tăng trưởng của thị trường là nhu cầu cao từ dịch vụ hậu cần dặm cuối và cải thiện nhanh chóng cơ sở hạ tầ</w:t>
      </w:r>
      <w:r w:rsidR="00F74E5E">
        <w:rPr>
          <w:rFonts w:ascii="Times New Roman" w:hAnsi="Times New Roman" w:cs="Times New Roman"/>
          <w:sz w:val="26"/>
          <w:szCs w:val="26"/>
        </w:rPr>
        <w:t>ng giao thông.</w:t>
      </w:r>
    </w:p>
    <w:bookmarkEnd w:id="1"/>
    <w:p w:rsidR="00E751FA" w:rsidRPr="00E751FA" w:rsidRDefault="00E751FA" w:rsidP="00F74E5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Trong số các quốc gia thành viên, Singapore sẽ tiếp tục dẫn đầu logistics t</w:t>
      </w:r>
      <w:r w:rsidRPr="00E751FA">
        <w:rPr>
          <w:rFonts w:ascii="Times New Roman" w:hAnsi="Times New Roman" w:cs="Times New Roman"/>
          <w:sz w:val="26"/>
          <w:szCs w:val="26"/>
        </w:rPr>
        <w:t>rong khu vự</w:t>
      </w:r>
      <w:r>
        <w:rPr>
          <w:rFonts w:ascii="Times New Roman" w:hAnsi="Times New Roman" w:cs="Times New Roman"/>
          <w:sz w:val="26"/>
          <w:szCs w:val="26"/>
        </w:rPr>
        <w:t xml:space="preserve">c ASEAN, nhờ khả năng tận dụng </w:t>
      </w:r>
      <w:r w:rsidRPr="00E751FA">
        <w:rPr>
          <w:rFonts w:ascii="Times New Roman" w:hAnsi="Times New Roman" w:cs="Times New Roman"/>
          <w:sz w:val="26"/>
          <w:szCs w:val="26"/>
        </w:rPr>
        <w:t>lợi thế về đị</w:t>
      </w:r>
      <w:r>
        <w:rPr>
          <w:rFonts w:ascii="Times New Roman" w:hAnsi="Times New Roman" w:cs="Times New Roman"/>
          <w:sz w:val="26"/>
          <w:szCs w:val="26"/>
        </w:rPr>
        <w:t xml:space="preserve">a lý và dẫn đầu về ứng dụng công nghệ hiện đại trên </w:t>
      </w:r>
      <w:r w:rsidRPr="00E751FA">
        <w:rPr>
          <w:rFonts w:ascii="Times New Roman" w:hAnsi="Times New Roman" w:cs="Times New Roman"/>
          <w:sz w:val="26"/>
          <w:szCs w:val="26"/>
        </w:rPr>
        <w:t xml:space="preserve">thị trường vận tải hàng hóa và hậu cần. </w:t>
      </w:r>
      <w:proofErr w:type="gramStart"/>
      <w:r w:rsidRPr="00E751FA">
        <w:rPr>
          <w:rFonts w:ascii="Times New Roman" w:hAnsi="Times New Roman" w:cs="Times New Roman"/>
          <w:sz w:val="26"/>
          <w:szCs w:val="26"/>
        </w:rPr>
        <w:t xml:space="preserve">Những </w:t>
      </w:r>
      <w:r>
        <w:rPr>
          <w:rFonts w:ascii="Times New Roman" w:hAnsi="Times New Roman" w:cs="Times New Roman"/>
          <w:sz w:val="26"/>
          <w:szCs w:val="26"/>
        </w:rPr>
        <w:t xml:space="preserve">công ty </w:t>
      </w:r>
      <w:r w:rsidRPr="00E751FA">
        <w:rPr>
          <w:rFonts w:ascii="Times New Roman" w:hAnsi="Times New Roman" w:cs="Times New Roman"/>
          <w:sz w:val="26"/>
          <w:szCs w:val="26"/>
        </w:rPr>
        <w:t xml:space="preserve">lớn </w:t>
      </w:r>
      <w:r>
        <w:rPr>
          <w:rFonts w:ascii="Times New Roman" w:hAnsi="Times New Roman" w:cs="Times New Roman"/>
          <w:sz w:val="26"/>
          <w:szCs w:val="26"/>
        </w:rPr>
        <w:t>của nước này</w:t>
      </w:r>
      <w:r w:rsidRPr="00E751FA">
        <w:rPr>
          <w:rFonts w:ascii="Times New Roman" w:hAnsi="Times New Roman" w:cs="Times New Roman"/>
          <w:sz w:val="26"/>
          <w:szCs w:val="26"/>
        </w:rPr>
        <w:t xml:space="preserve"> đã đóng góp phần lớn vào </w:t>
      </w:r>
      <w:r>
        <w:rPr>
          <w:rFonts w:ascii="Times New Roman" w:hAnsi="Times New Roman" w:cs="Times New Roman"/>
          <w:sz w:val="26"/>
          <w:szCs w:val="26"/>
        </w:rPr>
        <w:t xml:space="preserve">việc phát triển </w:t>
      </w:r>
      <w:r w:rsidRPr="00E751FA">
        <w:rPr>
          <w:rFonts w:ascii="Times New Roman" w:hAnsi="Times New Roman" w:cs="Times New Roman"/>
          <w:sz w:val="26"/>
          <w:szCs w:val="26"/>
        </w:rPr>
        <w:t>cơ sở hạ tầ</w:t>
      </w:r>
      <w:r>
        <w:rPr>
          <w:rFonts w:ascii="Times New Roman" w:hAnsi="Times New Roman" w:cs="Times New Roman"/>
          <w:sz w:val="26"/>
          <w:szCs w:val="26"/>
        </w:rPr>
        <w:t>ng kho bãi, với xu hướng hiện đại hóa hệ thống kho bãi tại Singapore và nhiều nước khác trong ASEAN, trong đó có Việt Nam.</w:t>
      </w:r>
      <w:proofErr w:type="gramEnd"/>
      <w:r>
        <w:rPr>
          <w:rFonts w:ascii="Times New Roman" w:hAnsi="Times New Roman" w:cs="Times New Roman"/>
          <w:sz w:val="26"/>
          <w:szCs w:val="26"/>
        </w:rPr>
        <w:t xml:space="preserve"> </w:t>
      </w:r>
      <w:r w:rsidR="00F74E5E" w:rsidRPr="00E751FA">
        <w:rPr>
          <w:rFonts w:ascii="Times New Roman" w:hAnsi="Times New Roman" w:cs="Times New Roman"/>
          <w:sz w:val="26"/>
          <w:szCs w:val="26"/>
        </w:rPr>
        <w:t xml:space="preserve">Singapore </w:t>
      </w:r>
      <w:r w:rsidR="00F74E5E">
        <w:rPr>
          <w:rFonts w:ascii="Times New Roman" w:hAnsi="Times New Roman" w:cs="Times New Roman"/>
          <w:sz w:val="26"/>
          <w:szCs w:val="26"/>
        </w:rPr>
        <w:t>cũng sẽ tiếp tục là nơi tập trung</w:t>
      </w:r>
      <w:r w:rsidR="00F74E5E" w:rsidRPr="00E751FA">
        <w:rPr>
          <w:rFonts w:ascii="Times New Roman" w:hAnsi="Times New Roman" w:cs="Times New Roman"/>
          <w:sz w:val="26"/>
          <w:szCs w:val="26"/>
        </w:rPr>
        <w:t xml:space="preserve"> của các công ty quốc tế và các sáng kiến được thực hiện bởi chính phủ, như Adapt and Grow, Go Digital, cho các doanh nghiệp vừa và nhỏ để cải thiệ</w:t>
      </w:r>
      <w:r w:rsidR="00F74E5E">
        <w:rPr>
          <w:rFonts w:ascii="Times New Roman" w:hAnsi="Times New Roman" w:cs="Times New Roman"/>
          <w:sz w:val="26"/>
          <w:szCs w:val="26"/>
        </w:rPr>
        <w:t>n năng lực logistics khu vực.</w:t>
      </w:r>
    </w:p>
    <w:p w:rsidR="00E751FA" w:rsidRDefault="00E751FA" w:rsidP="00E751FA">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Tại nước thành viên khác của ASEAN, c</w:t>
      </w:r>
      <w:r w:rsidRPr="00E751FA">
        <w:rPr>
          <w:rFonts w:ascii="Times New Roman" w:hAnsi="Times New Roman" w:cs="Times New Roman"/>
          <w:sz w:val="26"/>
          <w:szCs w:val="26"/>
        </w:rPr>
        <w:t>hính quyền địa phương đã hỗ trợ cho sự phát triển cơ sở hạ tầng của khu vực.</w:t>
      </w:r>
      <w:proofErr w:type="gramEnd"/>
      <w:r w:rsidRPr="00E751FA">
        <w:rPr>
          <w:rFonts w:ascii="Times New Roman" w:hAnsi="Times New Roman" w:cs="Times New Roman"/>
          <w:sz w:val="26"/>
          <w:szCs w:val="26"/>
        </w:rPr>
        <w:t xml:space="preserve"> Kế hoạch tổng thể về hậu cần và thuận lợi hóa thương mại, các thành phố thông minh do ủy ban ASEAN lên kế hoạch </w:t>
      </w:r>
      <w:r w:rsidR="00F74E5E">
        <w:rPr>
          <w:rFonts w:ascii="Times New Roman" w:hAnsi="Times New Roman" w:cs="Times New Roman"/>
          <w:sz w:val="26"/>
          <w:szCs w:val="26"/>
        </w:rPr>
        <w:t xml:space="preserve">được kỳ vọng sẽ thúc đẩy </w:t>
      </w:r>
      <w:r w:rsidRPr="00E751FA">
        <w:rPr>
          <w:rFonts w:ascii="Times New Roman" w:hAnsi="Times New Roman" w:cs="Times New Roman"/>
          <w:sz w:val="26"/>
          <w:szCs w:val="26"/>
        </w:rPr>
        <w:t>thị trường phát triển</w:t>
      </w:r>
      <w:r w:rsidR="00F74E5E">
        <w:rPr>
          <w:rFonts w:ascii="Times New Roman" w:hAnsi="Times New Roman" w:cs="Times New Roman"/>
          <w:sz w:val="26"/>
          <w:szCs w:val="26"/>
        </w:rPr>
        <w:t xml:space="preserve"> logistics khu vực phát triển</w:t>
      </w:r>
      <w:r w:rsidRPr="00E751FA">
        <w:rPr>
          <w:rFonts w:ascii="Times New Roman" w:hAnsi="Times New Roman" w:cs="Times New Roman"/>
          <w:sz w:val="26"/>
          <w:szCs w:val="26"/>
        </w:rPr>
        <w:t xml:space="preserve"> nhanh chóng.</w:t>
      </w:r>
    </w:p>
    <w:p w:rsidR="00E751FA" w:rsidRPr="00E751FA" w:rsidRDefault="00E751FA" w:rsidP="00E751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Ả</w:t>
      </w:r>
      <w:r w:rsidRPr="00E751FA">
        <w:rPr>
          <w:rFonts w:ascii="Times New Roman" w:hAnsi="Times New Roman" w:cs="Times New Roman"/>
          <w:sz w:val="26"/>
          <w:szCs w:val="26"/>
        </w:rPr>
        <w:t>nh hưởng của tăng trưởng thương mại điện tử</w:t>
      </w:r>
    </w:p>
    <w:p w:rsidR="00F74E5E" w:rsidRDefault="00E751FA" w:rsidP="00E751FA">
      <w:pPr>
        <w:spacing w:before="120" w:after="120" w:line="312" w:lineRule="auto"/>
        <w:ind w:firstLine="720"/>
        <w:jc w:val="both"/>
        <w:rPr>
          <w:rFonts w:ascii="Times New Roman" w:hAnsi="Times New Roman" w:cs="Times New Roman"/>
          <w:sz w:val="26"/>
          <w:szCs w:val="26"/>
        </w:rPr>
      </w:pPr>
      <w:proofErr w:type="gramStart"/>
      <w:r w:rsidRPr="00E751FA">
        <w:rPr>
          <w:rFonts w:ascii="Times New Roman" w:hAnsi="Times New Roman" w:cs="Times New Roman"/>
          <w:sz w:val="26"/>
          <w:szCs w:val="26"/>
        </w:rPr>
        <w:t>Có hơn 330 triệu người dùng internet trong khu vực ASEAN, thương mại điện tử trong khu vực được ước tính sẽ trở thành một ngành công nghiệp lớn trong những năm tới.</w:t>
      </w:r>
      <w:proofErr w:type="gramEnd"/>
      <w:r w:rsidRPr="00E751FA">
        <w:rPr>
          <w:rFonts w:ascii="Times New Roman" w:hAnsi="Times New Roman" w:cs="Times New Roman"/>
          <w:sz w:val="26"/>
          <w:szCs w:val="26"/>
        </w:rPr>
        <w:t xml:space="preserve"> </w:t>
      </w:r>
      <w:proofErr w:type="gramStart"/>
      <w:r w:rsidRPr="00E751FA">
        <w:rPr>
          <w:rFonts w:ascii="Times New Roman" w:hAnsi="Times New Roman" w:cs="Times New Roman"/>
          <w:sz w:val="26"/>
          <w:szCs w:val="26"/>
        </w:rPr>
        <w:t>Ước tính nền kinh tế internet ASEAN đạt 72 tỷ USD về tổng giá trị hàng hóa vào năm 2018.</w:t>
      </w:r>
      <w:proofErr w:type="gramEnd"/>
      <w:r w:rsidRPr="00E751FA">
        <w:rPr>
          <w:rFonts w:ascii="Times New Roman" w:hAnsi="Times New Roman" w:cs="Times New Roman"/>
          <w:sz w:val="26"/>
          <w:szCs w:val="26"/>
        </w:rPr>
        <w:t xml:space="preserve"> Khoảng 3</w:t>
      </w:r>
      <w:proofErr w:type="gramStart"/>
      <w:r w:rsidRPr="00E751FA">
        <w:rPr>
          <w:rFonts w:ascii="Times New Roman" w:hAnsi="Times New Roman" w:cs="Times New Roman"/>
          <w:sz w:val="26"/>
          <w:szCs w:val="26"/>
        </w:rPr>
        <w:t>,8</w:t>
      </w:r>
      <w:proofErr w:type="gramEnd"/>
      <w:r w:rsidRPr="00E751FA">
        <w:rPr>
          <w:rFonts w:ascii="Times New Roman" w:hAnsi="Times New Roman" w:cs="Times New Roman"/>
          <w:sz w:val="26"/>
          <w:szCs w:val="26"/>
        </w:rPr>
        <w:t xml:space="preserve"> triệu người dùng mới được ước tính sẽ trực tuyến mỗi tháng trong khu vực, đưa ASEAN trở thành thị trường internet tăng trưởng nhanh nhất thế giớ</w:t>
      </w:r>
      <w:r w:rsidR="00F74E5E">
        <w:rPr>
          <w:rFonts w:ascii="Times New Roman" w:hAnsi="Times New Roman" w:cs="Times New Roman"/>
          <w:sz w:val="26"/>
          <w:szCs w:val="26"/>
        </w:rPr>
        <w:t>i đến năm</w:t>
      </w:r>
      <w:r w:rsidRPr="00E751FA">
        <w:rPr>
          <w:rFonts w:ascii="Times New Roman" w:hAnsi="Times New Roman" w:cs="Times New Roman"/>
          <w:sz w:val="26"/>
          <w:szCs w:val="26"/>
        </w:rPr>
        <w:t xml:space="preserve"> 2020. </w:t>
      </w:r>
    </w:p>
    <w:p w:rsidR="00E751FA" w:rsidRPr="00E751FA" w:rsidRDefault="00F74E5E" w:rsidP="00F74E5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Ngoài ra, </w:t>
      </w:r>
      <w:r w:rsidR="00E751FA" w:rsidRPr="00E751FA">
        <w:rPr>
          <w:rFonts w:ascii="Times New Roman" w:hAnsi="Times New Roman" w:cs="Times New Roman"/>
          <w:sz w:val="26"/>
          <w:szCs w:val="26"/>
        </w:rPr>
        <w:t>tăng thu nhập khả dụng (tất cả sáu quốc gia lớn trong khu vực dự kiến ​​</w:t>
      </w:r>
      <w:r>
        <w:rPr>
          <w:rFonts w:ascii="Times New Roman" w:hAnsi="Times New Roman" w:cs="Times New Roman"/>
          <w:sz w:val="26"/>
          <w:szCs w:val="26"/>
        </w:rPr>
        <w:t>vượt ngưỡng thu nhập trung bình</w:t>
      </w:r>
      <w:r w:rsidR="00E751FA" w:rsidRPr="00E751FA">
        <w:rPr>
          <w:rFonts w:ascii="Times New Roman" w:hAnsi="Times New Roman" w:cs="Times New Roman"/>
          <w:sz w:val="26"/>
          <w:szCs w:val="26"/>
        </w:rPr>
        <w:t xml:space="preserve"> 3.000 USD</w:t>
      </w:r>
      <w:r>
        <w:rPr>
          <w:rFonts w:ascii="Times New Roman" w:hAnsi="Times New Roman" w:cs="Times New Roman"/>
          <w:sz w:val="26"/>
          <w:szCs w:val="26"/>
        </w:rPr>
        <w:t>/người/năm</w:t>
      </w:r>
      <w:r w:rsidR="00E751FA" w:rsidRPr="00E751FA">
        <w:rPr>
          <w:rFonts w:ascii="Times New Roman" w:hAnsi="Times New Roman" w:cs="Times New Roman"/>
          <w:sz w:val="26"/>
          <w:szCs w:val="26"/>
        </w:rPr>
        <w:t>) và hệ thống thanh toán trực tuyến khả dụng cao hơn, có khả năng cho phép tăng trưởng nền kinh tế internet, ước tính sẽ tăng lên 240 tỷ</w:t>
      </w:r>
      <w:r>
        <w:rPr>
          <w:rFonts w:ascii="Times New Roman" w:hAnsi="Times New Roman" w:cs="Times New Roman"/>
          <w:sz w:val="26"/>
          <w:szCs w:val="26"/>
        </w:rPr>
        <w:t xml:space="preserve"> USD vào năm 2025.</w:t>
      </w:r>
    </w:p>
    <w:p w:rsidR="00E751FA" w:rsidRPr="00E751FA" w:rsidRDefault="00E751FA" w:rsidP="00E751FA">
      <w:pPr>
        <w:spacing w:before="120" w:after="120" w:line="312" w:lineRule="auto"/>
        <w:ind w:firstLine="720"/>
        <w:jc w:val="both"/>
        <w:rPr>
          <w:rFonts w:ascii="Times New Roman" w:hAnsi="Times New Roman" w:cs="Times New Roman"/>
          <w:sz w:val="26"/>
          <w:szCs w:val="26"/>
        </w:rPr>
      </w:pPr>
      <w:proofErr w:type="gramStart"/>
      <w:r w:rsidRPr="00E751FA">
        <w:rPr>
          <w:rFonts w:ascii="Times New Roman" w:hAnsi="Times New Roman" w:cs="Times New Roman"/>
          <w:sz w:val="26"/>
          <w:szCs w:val="26"/>
        </w:rPr>
        <w:t>Sự phát triển của thương mại điện tử gây áp lực lên ngành kho bãi và hậu cần đang phát triển trong khu vực.</w:t>
      </w:r>
      <w:proofErr w:type="gramEnd"/>
      <w:r w:rsidRPr="00E751FA">
        <w:rPr>
          <w:rFonts w:ascii="Times New Roman" w:hAnsi="Times New Roman" w:cs="Times New Roman"/>
          <w:sz w:val="26"/>
          <w:szCs w:val="26"/>
        </w:rPr>
        <w:t xml:space="preserve"> </w:t>
      </w:r>
      <w:proofErr w:type="gramStart"/>
      <w:r w:rsidRPr="00E751FA">
        <w:rPr>
          <w:rFonts w:ascii="Times New Roman" w:hAnsi="Times New Roman" w:cs="Times New Roman"/>
          <w:sz w:val="26"/>
          <w:szCs w:val="26"/>
        </w:rPr>
        <w:t xml:space="preserve">Thương mại điện tử </w:t>
      </w:r>
      <w:r w:rsidR="00F74E5E">
        <w:rPr>
          <w:rFonts w:ascii="Times New Roman" w:hAnsi="Times New Roman" w:cs="Times New Roman"/>
          <w:sz w:val="26"/>
          <w:szCs w:val="26"/>
        </w:rPr>
        <w:t>tạo ra</w:t>
      </w:r>
      <w:r w:rsidRPr="00E751FA">
        <w:rPr>
          <w:rFonts w:ascii="Times New Roman" w:hAnsi="Times New Roman" w:cs="Times New Roman"/>
          <w:sz w:val="26"/>
          <w:szCs w:val="26"/>
        </w:rPr>
        <w:t xml:space="preserve"> nhu cầu và giao hàng nhanh chóng, cùng với hàng tồn kho mạnh.</w:t>
      </w:r>
      <w:proofErr w:type="gramEnd"/>
      <w:r w:rsidRPr="00E751FA">
        <w:rPr>
          <w:rFonts w:ascii="Times New Roman" w:hAnsi="Times New Roman" w:cs="Times New Roman"/>
          <w:sz w:val="26"/>
          <w:szCs w:val="26"/>
        </w:rPr>
        <w:t xml:space="preserve"> </w:t>
      </w:r>
      <w:proofErr w:type="gramStart"/>
      <w:r w:rsidRPr="00E751FA">
        <w:rPr>
          <w:rFonts w:ascii="Times New Roman" w:hAnsi="Times New Roman" w:cs="Times New Roman"/>
          <w:sz w:val="26"/>
          <w:szCs w:val="26"/>
        </w:rPr>
        <w:t>Điều này chỉ có thể thông qua sự phát triển của lĩnh vực kho bãi.</w:t>
      </w:r>
      <w:proofErr w:type="gramEnd"/>
      <w:r w:rsidRPr="00E751FA">
        <w:rPr>
          <w:rFonts w:ascii="Times New Roman" w:hAnsi="Times New Roman" w:cs="Times New Roman"/>
          <w:sz w:val="26"/>
          <w:szCs w:val="26"/>
        </w:rPr>
        <w:t xml:space="preserve"> Một số lượng lớn </w:t>
      </w:r>
      <w:r w:rsidR="00F74E5E">
        <w:rPr>
          <w:rFonts w:ascii="Times New Roman" w:hAnsi="Times New Roman" w:cs="Times New Roman"/>
          <w:sz w:val="26"/>
          <w:szCs w:val="26"/>
        </w:rPr>
        <w:t>những công ty logistics</w:t>
      </w:r>
      <w:r w:rsidRPr="00E751FA">
        <w:rPr>
          <w:rFonts w:ascii="Times New Roman" w:hAnsi="Times New Roman" w:cs="Times New Roman"/>
          <w:sz w:val="26"/>
          <w:szCs w:val="26"/>
        </w:rPr>
        <w:t xml:space="preserve"> trong khu vực ASEAN, như Yusen hậu cần, CEVA và CWT Logisticsđã liên tục phát triển cơ sở hạ tầng kho của họ để </w:t>
      </w:r>
      <w:r w:rsidR="00F74E5E">
        <w:rPr>
          <w:rFonts w:ascii="Times New Roman" w:hAnsi="Times New Roman" w:cs="Times New Roman"/>
          <w:sz w:val="26"/>
          <w:szCs w:val="26"/>
        </w:rPr>
        <w:t xml:space="preserve">đáp ứng </w:t>
      </w:r>
      <w:r w:rsidRPr="00E751FA">
        <w:rPr>
          <w:rFonts w:ascii="Times New Roman" w:hAnsi="Times New Roman" w:cs="Times New Roman"/>
          <w:sz w:val="26"/>
          <w:szCs w:val="26"/>
        </w:rPr>
        <w:t xml:space="preserve">áp </w:t>
      </w:r>
      <w:r w:rsidR="00F74E5E">
        <w:rPr>
          <w:rFonts w:ascii="Times New Roman" w:hAnsi="Times New Roman" w:cs="Times New Roman"/>
          <w:sz w:val="26"/>
          <w:szCs w:val="26"/>
        </w:rPr>
        <w:t>gia tăng</w:t>
      </w:r>
      <w:r w:rsidRPr="00E751FA">
        <w:rPr>
          <w:rFonts w:ascii="Times New Roman" w:hAnsi="Times New Roman" w:cs="Times New Roman"/>
          <w:sz w:val="26"/>
          <w:szCs w:val="26"/>
        </w:rPr>
        <w:t xml:space="preserve"> từ lĩnh vực thương mại điện tử.</w:t>
      </w:r>
    </w:p>
    <w:p w:rsidR="00184922" w:rsidRDefault="00873A76" w:rsidP="00626C23">
      <w:pPr>
        <w:pStyle w:val="Heading2"/>
        <w:numPr>
          <w:ilvl w:val="1"/>
          <w:numId w:val="1"/>
        </w:numPr>
        <w:spacing w:before="120" w:after="120" w:line="312" w:lineRule="auto"/>
        <w:rPr>
          <w:rFonts w:ascii="Times New Roman" w:hAnsi="Times New Roman" w:cs="Times New Roman"/>
        </w:rPr>
      </w:pPr>
      <w:bookmarkStart w:id="3" w:name="_Toc10108625"/>
      <w:r w:rsidRPr="006A0A2F">
        <w:rPr>
          <w:rFonts w:ascii="Times New Roman" w:hAnsi="Times New Roman" w:cs="Times New Roman"/>
          <w:i/>
        </w:rPr>
        <w:t>Tình hình kinh tế, sản xuất, thương mại, đầu tư liên quan đến hoạt động logistics</w:t>
      </w:r>
      <w:bookmarkEnd w:id="3"/>
    </w:p>
    <w:p w:rsidR="00E62494" w:rsidRPr="00E62494" w:rsidRDefault="000C4D59" w:rsidP="00E62494">
      <w:pPr>
        <w:spacing w:before="120" w:after="120" w:line="312" w:lineRule="auto"/>
        <w:ind w:firstLine="720"/>
        <w:jc w:val="both"/>
        <w:rPr>
          <w:rFonts w:ascii="Times New Roman" w:hAnsi="Times New Roman" w:cs="Times New Roman"/>
          <w:iCs/>
          <w:sz w:val="26"/>
          <w:szCs w:val="26"/>
        </w:rPr>
      </w:pPr>
      <w:r w:rsidRPr="000C4D59">
        <w:t xml:space="preserve"> </w:t>
      </w:r>
      <w:r w:rsidR="00E62494" w:rsidRPr="00E62494">
        <w:rPr>
          <w:rFonts w:ascii="Times New Roman" w:hAnsi="Times New Roman" w:cs="Times New Roman"/>
          <w:iCs/>
          <w:sz w:val="26"/>
          <w:szCs w:val="26"/>
        </w:rPr>
        <w:t>Thỏa thuận đầu tư (IA</w:t>
      </w:r>
      <w:r w:rsidR="00E62494">
        <w:rPr>
          <w:rFonts w:ascii="Times New Roman" w:hAnsi="Times New Roman" w:cs="Times New Roman"/>
          <w:iCs/>
          <w:sz w:val="26"/>
          <w:szCs w:val="26"/>
        </w:rPr>
        <w:t xml:space="preserve">) </w:t>
      </w:r>
      <w:r w:rsidR="00E62494" w:rsidRPr="00E62494">
        <w:rPr>
          <w:rFonts w:ascii="Times New Roman" w:hAnsi="Times New Roman" w:cs="Times New Roman"/>
          <w:iCs/>
          <w:sz w:val="26"/>
          <w:szCs w:val="26"/>
        </w:rPr>
        <w:t>giữa Hồ</w:t>
      </w:r>
      <w:r w:rsidR="00F74E5E">
        <w:rPr>
          <w:rFonts w:ascii="Times New Roman" w:hAnsi="Times New Roman" w:cs="Times New Roman"/>
          <w:iCs/>
          <w:sz w:val="26"/>
          <w:szCs w:val="26"/>
        </w:rPr>
        <w:t>ng Kông và</w:t>
      </w:r>
      <w:r w:rsidR="00E62494" w:rsidRPr="00E62494">
        <w:rPr>
          <w:rFonts w:ascii="Times New Roman" w:hAnsi="Times New Roman" w:cs="Times New Roman"/>
          <w:iCs/>
          <w:sz w:val="26"/>
          <w:szCs w:val="26"/>
        </w:rPr>
        <w:t xml:space="preserve"> 5 quốc gia thành viên ASEAN </w:t>
      </w:r>
      <w:r w:rsidR="00F74E5E" w:rsidRPr="00E62494">
        <w:rPr>
          <w:rFonts w:ascii="Times New Roman" w:hAnsi="Times New Roman" w:cs="Times New Roman"/>
          <w:iCs/>
          <w:sz w:val="26"/>
          <w:szCs w:val="26"/>
        </w:rPr>
        <w:t>sẽ có hiệu lực vào ngày 17 tháng 6</w:t>
      </w:r>
      <w:r w:rsidR="00F74E5E">
        <w:rPr>
          <w:rFonts w:ascii="Times New Roman" w:hAnsi="Times New Roman" w:cs="Times New Roman"/>
          <w:iCs/>
          <w:sz w:val="26"/>
          <w:szCs w:val="26"/>
        </w:rPr>
        <w:t xml:space="preserve"> năm 2019.</w:t>
      </w:r>
    </w:p>
    <w:p w:rsidR="00E62494" w:rsidRPr="00E62494" w:rsidRDefault="00E62494" w:rsidP="00D4492C">
      <w:pPr>
        <w:spacing w:before="120" w:after="120" w:line="312" w:lineRule="auto"/>
        <w:ind w:firstLine="720"/>
        <w:jc w:val="both"/>
        <w:rPr>
          <w:rFonts w:ascii="Times New Roman" w:hAnsi="Times New Roman" w:cs="Times New Roman"/>
          <w:iCs/>
          <w:sz w:val="26"/>
          <w:szCs w:val="26"/>
        </w:rPr>
      </w:pPr>
      <w:r w:rsidRPr="00E62494">
        <w:rPr>
          <w:rFonts w:ascii="Times New Roman" w:hAnsi="Times New Roman" w:cs="Times New Roman"/>
          <w:iCs/>
          <w:sz w:val="26"/>
          <w:szCs w:val="26"/>
        </w:rPr>
        <w:t>Sau khi IA có hiệu lực, năm quốc gia thành viên ASEAN là Lào, Myanmar, Singapore, Thái Lan và Việt Nam sẽ cung cấp cho các doanh nghiệp Hồng Kông đầu tư vào khu vực của họ sự đối xử công bằng với các khoản đầu tư, bảo vệ vật lý và an ninh, và đảm bảo về việc chuyển nhượng miễn phí các khoản đầu tư và lợi nhuận của họ</w:t>
      </w:r>
      <w:r w:rsidR="00D4492C">
        <w:rPr>
          <w:rFonts w:ascii="Times New Roman" w:hAnsi="Times New Roman" w:cs="Times New Roman"/>
          <w:iCs/>
          <w:sz w:val="26"/>
          <w:szCs w:val="26"/>
        </w:rPr>
        <w:t>.</w:t>
      </w:r>
    </w:p>
    <w:p w:rsidR="00E62494" w:rsidRPr="00E62494" w:rsidRDefault="00E62494" w:rsidP="00E62494">
      <w:pPr>
        <w:spacing w:before="120" w:after="120" w:line="312" w:lineRule="auto"/>
        <w:ind w:firstLine="720"/>
        <w:jc w:val="both"/>
        <w:rPr>
          <w:rFonts w:ascii="Times New Roman" w:hAnsi="Times New Roman" w:cs="Times New Roman"/>
          <w:iCs/>
          <w:sz w:val="26"/>
          <w:szCs w:val="26"/>
        </w:rPr>
      </w:pPr>
      <w:r w:rsidRPr="00E62494">
        <w:rPr>
          <w:rFonts w:ascii="Times New Roman" w:hAnsi="Times New Roman" w:cs="Times New Roman"/>
          <w:iCs/>
          <w:sz w:val="26"/>
          <w:szCs w:val="26"/>
        </w:rPr>
        <w:t>Trong trường hợp chiếm quyền hoặc mất đầu tư do chiến tranh, xung đột vũ trang hoặc các sự kiện tương tự, năm quốc gia thành viên ASEAN nêu trên cũng sẽ bồi thường cho các doanh nghiệp Hồng Kông đầu tư vào khu vực của họ theo tiêu chuẩn đã được quy đị</w:t>
      </w:r>
      <w:r>
        <w:rPr>
          <w:rFonts w:ascii="Times New Roman" w:hAnsi="Times New Roman" w:cs="Times New Roman"/>
          <w:iCs/>
          <w:sz w:val="26"/>
          <w:szCs w:val="26"/>
        </w:rPr>
        <w:t>nh trong IA.</w:t>
      </w:r>
    </w:p>
    <w:p w:rsidR="00E62494" w:rsidRPr="00E62494" w:rsidRDefault="00E62494" w:rsidP="00E62494">
      <w:pPr>
        <w:spacing w:before="120" w:after="120" w:line="312" w:lineRule="auto"/>
        <w:ind w:firstLine="720"/>
        <w:jc w:val="both"/>
        <w:rPr>
          <w:rFonts w:ascii="Times New Roman" w:hAnsi="Times New Roman" w:cs="Times New Roman"/>
          <w:iCs/>
          <w:sz w:val="26"/>
          <w:szCs w:val="26"/>
        </w:rPr>
      </w:pPr>
      <w:r w:rsidRPr="00E62494">
        <w:rPr>
          <w:rFonts w:ascii="Times New Roman" w:hAnsi="Times New Roman" w:cs="Times New Roman"/>
          <w:iCs/>
          <w:sz w:val="26"/>
          <w:szCs w:val="26"/>
        </w:rPr>
        <w:t xml:space="preserve">Trong khi đó, các </w:t>
      </w:r>
      <w:r w:rsidR="00F74E5E">
        <w:rPr>
          <w:rFonts w:ascii="Times New Roman" w:hAnsi="Times New Roman" w:cs="Times New Roman"/>
          <w:iCs/>
          <w:sz w:val="26"/>
          <w:szCs w:val="26"/>
        </w:rPr>
        <w:t>nội dung</w:t>
      </w:r>
      <w:r w:rsidRPr="00E62494">
        <w:rPr>
          <w:rFonts w:ascii="Times New Roman" w:hAnsi="Times New Roman" w:cs="Times New Roman"/>
          <w:iCs/>
          <w:sz w:val="26"/>
          <w:szCs w:val="26"/>
        </w:rPr>
        <w:t xml:space="preserve"> liên quan đến Lào và Việt Nam theo Hiệp định thương mại tự do (FTA) giữa Hồng Kông và ASEAN sẽ có hiệu lực vào ngày 11 tháng 6</w:t>
      </w:r>
      <w:r w:rsidR="00F74E5E">
        <w:rPr>
          <w:rFonts w:ascii="Times New Roman" w:hAnsi="Times New Roman" w:cs="Times New Roman"/>
          <w:iCs/>
          <w:sz w:val="26"/>
          <w:szCs w:val="26"/>
        </w:rPr>
        <w:t xml:space="preserve"> năm 2019</w:t>
      </w:r>
      <w:r w:rsidRPr="00E62494">
        <w:rPr>
          <w:rFonts w:ascii="Times New Roman" w:hAnsi="Times New Roman" w:cs="Times New Roman"/>
          <w:iCs/>
          <w:sz w:val="26"/>
          <w:szCs w:val="26"/>
        </w:rPr>
        <w:t xml:space="preserve">. Ngoài những </w:t>
      </w:r>
      <w:r w:rsidR="00F74E5E">
        <w:rPr>
          <w:rFonts w:ascii="Times New Roman" w:hAnsi="Times New Roman" w:cs="Times New Roman"/>
          <w:iCs/>
          <w:sz w:val="26"/>
          <w:szCs w:val="26"/>
        </w:rPr>
        <w:t>nội dung</w:t>
      </w:r>
      <w:r w:rsidRPr="00E62494">
        <w:rPr>
          <w:rFonts w:ascii="Times New Roman" w:hAnsi="Times New Roman" w:cs="Times New Roman"/>
          <w:iCs/>
          <w:sz w:val="26"/>
          <w:szCs w:val="26"/>
        </w:rPr>
        <w:t xml:space="preserve"> được công bố trước đó, các </w:t>
      </w:r>
      <w:r w:rsidR="00F74E5E">
        <w:rPr>
          <w:rFonts w:ascii="Times New Roman" w:hAnsi="Times New Roman" w:cs="Times New Roman"/>
          <w:iCs/>
          <w:sz w:val="26"/>
          <w:szCs w:val="26"/>
        </w:rPr>
        <w:t>nội dung</w:t>
      </w:r>
      <w:r w:rsidRPr="00E62494">
        <w:rPr>
          <w:rFonts w:ascii="Times New Roman" w:hAnsi="Times New Roman" w:cs="Times New Roman"/>
          <w:iCs/>
          <w:sz w:val="26"/>
          <w:szCs w:val="26"/>
        </w:rPr>
        <w:t xml:space="preserve"> liên quan đến Hồng Kông và Lào, Myanmar, Singapore, Thái Lan và Việt Nam theo FTA sẽ có hiệu lự</w:t>
      </w:r>
      <w:r w:rsidR="00F74E5E">
        <w:rPr>
          <w:rFonts w:ascii="Times New Roman" w:hAnsi="Times New Roman" w:cs="Times New Roman"/>
          <w:iCs/>
          <w:sz w:val="26"/>
          <w:szCs w:val="26"/>
        </w:rPr>
        <w:t>c vào ngày 11 tháng 6 năm nay</w:t>
      </w:r>
      <w:r>
        <w:rPr>
          <w:rFonts w:ascii="Times New Roman" w:hAnsi="Times New Roman" w:cs="Times New Roman"/>
          <w:iCs/>
          <w:sz w:val="26"/>
          <w:szCs w:val="26"/>
        </w:rPr>
        <w:t>.</w:t>
      </w:r>
    </w:p>
    <w:p w:rsidR="00E62494" w:rsidRPr="00E62494" w:rsidRDefault="00F74E5E" w:rsidP="00E62494">
      <w:pPr>
        <w:spacing w:before="120" w:after="120"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K</w:t>
      </w:r>
      <w:r w:rsidR="00E62494" w:rsidRPr="00E62494">
        <w:rPr>
          <w:rFonts w:ascii="Times New Roman" w:hAnsi="Times New Roman" w:cs="Times New Roman"/>
          <w:iCs/>
          <w:sz w:val="26"/>
          <w:szCs w:val="26"/>
        </w:rPr>
        <w:t xml:space="preserve">hi thực hiện FTA đã đề cập, Singapore </w:t>
      </w:r>
      <w:r>
        <w:rPr>
          <w:rFonts w:ascii="Times New Roman" w:hAnsi="Times New Roman" w:cs="Times New Roman"/>
          <w:iCs/>
          <w:sz w:val="26"/>
          <w:szCs w:val="26"/>
        </w:rPr>
        <w:t>đưa ngay thuế</w:t>
      </w:r>
      <w:r w:rsidR="00E62494" w:rsidRPr="00E62494">
        <w:rPr>
          <w:rFonts w:ascii="Times New Roman" w:hAnsi="Times New Roman" w:cs="Times New Roman"/>
          <w:iCs/>
          <w:sz w:val="26"/>
          <w:szCs w:val="26"/>
        </w:rPr>
        <w:t xml:space="preserve"> quan </w:t>
      </w:r>
      <w:r>
        <w:rPr>
          <w:rFonts w:ascii="Times New Roman" w:hAnsi="Times New Roman" w:cs="Times New Roman"/>
          <w:iCs/>
          <w:sz w:val="26"/>
          <w:szCs w:val="26"/>
        </w:rPr>
        <w:t xml:space="preserve">về </w:t>
      </w:r>
      <w:r w:rsidR="00E62494" w:rsidRPr="00E62494">
        <w:rPr>
          <w:rFonts w:ascii="Times New Roman" w:hAnsi="Times New Roman" w:cs="Times New Roman"/>
          <w:iCs/>
          <w:sz w:val="26"/>
          <w:szCs w:val="26"/>
        </w:rPr>
        <w:t>mức 0</w:t>
      </w:r>
      <w:r>
        <w:rPr>
          <w:rFonts w:ascii="Times New Roman" w:hAnsi="Times New Roman" w:cs="Times New Roman"/>
          <w:iCs/>
          <w:sz w:val="26"/>
          <w:szCs w:val="26"/>
        </w:rPr>
        <w:t>%</w:t>
      </w:r>
      <w:r w:rsidR="00E62494" w:rsidRPr="00E62494">
        <w:rPr>
          <w:rFonts w:ascii="Times New Roman" w:hAnsi="Times New Roman" w:cs="Times New Roman"/>
          <w:iCs/>
          <w:sz w:val="26"/>
          <w:szCs w:val="26"/>
        </w:rPr>
        <w:t xml:space="preserve">, trong khi Lào, Myanmar, Thái Lan và Việt Nam sẽ giảm dần hoặc loại bỏ thuế hải quan đối với hàng hóa có nguồn gốc từ Hồng Kông. Các cam kết giảm thuế bao </w:t>
      </w:r>
      <w:r w:rsidR="00E62494" w:rsidRPr="00E62494">
        <w:rPr>
          <w:rFonts w:ascii="Times New Roman" w:hAnsi="Times New Roman" w:cs="Times New Roman"/>
          <w:iCs/>
          <w:sz w:val="26"/>
          <w:szCs w:val="26"/>
        </w:rPr>
        <w:lastRenderedPageBreak/>
        <w:t xml:space="preserve">gồm nhiều loại hàng hóa </w:t>
      </w:r>
      <w:r>
        <w:rPr>
          <w:rFonts w:ascii="Times New Roman" w:hAnsi="Times New Roman" w:cs="Times New Roman"/>
          <w:iCs/>
          <w:sz w:val="26"/>
          <w:szCs w:val="26"/>
        </w:rPr>
        <w:t xml:space="preserve">từ </w:t>
      </w:r>
      <w:r w:rsidR="00E62494" w:rsidRPr="00E62494">
        <w:rPr>
          <w:rFonts w:ascii="Times New Roman" w:hAnsi="Times New Roman" w:cs="Times New Roman"/>
          <w:iCs/>
          <w:sz w:val="26"/>
          <w:szCs w:val="26"/>
        </w:rPr>
        <w:t>Hồng Kông bao gồm trang sức, các mặt hàng may mặc và phụ kiện quần áo, đồng hồ và đồng hồ và đồ</w:t>
      </w:r>
      <w:r w:rsidR="00E62494">
        <w:rPr>
          <w:rFonts w:ascii="Times New Roman" w:hAnsi="Times New Roman" w:cs="Times New Roman"/>
          <w:iCs/>
          <w:sz w:val="26"/>
          <w:szCs w:val="26"/>
        </w:rPr>
        <w:t xml:space="preserve"> chơi.</w:t>
      </w:r>
    </w:p>
    <w:p w:rsidR="00E62494" w:rsidRPr="00E62494" w:rsidRDefault="00E62494" w:rsidP="00E62494">
      <w:pPr>
        <w:spacing w:before="120" w:after="120" w:line="312" w:lineRule="auto"/>
        <w:ind w:firstLine="720"/>
        <w:jc w:val="both"/>
        <w:rPr>
          <w:rFonts w:ascii="Times New Roman" w:hAnsi="Times New Roman" w:cs="Times New Roman"/>
          <w:iCs/>
          <w:sz w:val="26"/>
          <w:szCs w:val="26"/>
        </w:rPr>
      </w:pPr>
      <w:r w:rsidRPr="00E62494">
        <w:rPr>
          <w:rFonts w:ascii="Times New Roman" w:hAnsi="Times New Roman" w:cs="Times New Roman"/>
          <w:iCs/>
          <w:sz w:val="26"/>
          <w:szCs w:val="26"/>
        </w:rPr>
        <w:t>Về thương mại dịch vụ, khi triển khai FTA và đối với Lào, Myanmar, Singapore, Thái Lan và Việt Nam, các nhà cung cấp dịch vụ Hồng Kông sẽ được hưởng các điều kiện tiếp cận thị trường ràng buộc về mặt pháp lý và do đó được hưởng lợi từ các cơ hội kinh doanh nâng cao trong một loạt các dịch vụ</w:t>
      </w:r>
      <w:r>
        <w:rPr>
          <w:rFonts w:ascii="Times New Roman" w:hAnsi="Times New Roman" w:cs="Times New Roman"/>
          <w:iCs/>
          <w:sz w:val="26"/>
          <w:szCs w:val="26"/>
        </w:rPr>
        <w:t xml:space="preserve"> các ngành.</w:t>
      </w:r>
    </w:p>
    <w:p w:rsidR="00CE4251" w:rsidRPr="00E62494" w:rsidRDefault="00E62494" w:rsidP="00E62494">
      <w:pPr>
        <w:spacing w:before="120" w:after="120" w:line="312" w:lineRule="auto"/>
        <w:ind w:firstLine="720"/>
        <w:jc w:val="both"/>
        <w:rPr>
          <w:rFonts w:ascii="Times New Roman" w:hAnsi="Times New Roman" w:cs="Times New Roman"/>
          <w:iCs/>
          <w:sz w:val="26"/>
          <w:szCs w:val="26"/>
        </w:rPr>
      </w:pPr>
      <w:proofErr w:type="gramStart"/>
      <w:r w:rsidRPr="00E62494">
        <w:rPr>
          <w:rFonts w:ascii="Times New Roman" w:hAnsi="Times New Roman" w:cs="Times New Roman"/>
          <w:iCs/>
          <w:sz w:val="26"/>
          <w:szCs w:val="26"/>
        </w:rPr>
        <w:t>Hồng Kông và ASEAN đã ký FTA và IA vào cuối năm 2017.</w:t>
      </w:r>
      <w:proofErr w:type="gramEnd"/>
      <w:r w:rsidRPr="00E62494">
        <w:rPr>
          <w:rFonts w:ascii="Times New Roman" w:hAnsi="Times New Roman" w:cs="Times New Roman"/>
          <w:iCs/>
          <w:sz w:val="26"/>
          <w:szCs w:val="26"/>
        </w:rPr>
        <w:t xml:space="preserve"> </w:t>
      </w:r>
      <w:proofErr w:type="gramStart"/>
      <w:r w:rsidRPr="00E62494">
        <w:rPr>
          <w:rFonts w:ascii="Times New Roman" w:hAnsi="Times New Roman" w:cs="Times New Roman"/>
          <w:iCs/>
          <w:sz w:val="26"/>
          <w:szCs w:val="26"/>
        </w:rPr>
        <w:t xml:space="preserve">Ngày bắt đầu có hiệu lực của năm quốc gia thành viên ASEAN còn lại là Brunei Darussalam, Campuchia, Indonesia, Malaysia và Philippines sẽ được công bố </w:t>
      </w:r>
      <w:r>
        <w:rPr>
          <w:rFonts w:ascii="Times New Roman" w:hAnsi="Times New Roman" w:cs="Times New Roman"/>
          <w:iCs/>
          <w:sz w:val="26"/>
          <w:szCs w:val="26"/>
        </w:rPr>
        <w:t>sau.</w:t>
      </w:r>
      <w:proofErr w:type="gramEnd"/>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10108626"/>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10108627"/>
      <w:r w:rsidRPr="006A0A2F">
        <w:rPr>
          <w:rStyle w:val="Emphasis"/>
          <w:rFonts w:ascii="Times New Roman" w:hAnsi="Times New Roman" w:cs="Times New Roman"/>
          <w:b/>
          <w:sz w:val="26"/>
          <w:szCs w:val="26"/>
        </w:rPr>
        <w:t>Hoạt động vận tải và cảng biển</w:t>
      </w:r>
      <w:bookmarkEnd w:id="5"/>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Đội tàu mang quốc tịch Singapore và số lượng tàu qua cảng:</w:t>
      </w:r>
    </w:p>
    <w:p w:rsidR="00E91310" w:rsidRDefault="00E91310" w:rsidP="00B360F6">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Tình hình tàu qua cảng Singapore tiếp tục diễn biến kém khả quan.</w:t>
      </w:r>
      <w:proofErr w:type="gramEnd"/>
      <w:r>
        <w:rPr>
          <w:rFonts w:ascii="Times New Roman" w:hAnsi="Times New Roman" w:cs="Times New Roman"/>
          <w:sz w:val="26"/>
          <w:szCs w:val="26"/>
        </w:rPr>
        <w:t xml:space="preserve"> </w:t>
      </w:r>
    </w:p>
    <w:p w:rsidR="00B360F6" w:rsidRPr="00B360F6" w:rsidRDefault="00F17990"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Theo số liệu của Cơ quan thống kê quốc gia Singapore, </w:t>
      </w:r>
      <w:r w:rsidR="00B360F6" w:rsidRPr="00B360F6">
        <w:rPr>
          <w:rFonts w:ascii="Times New Roman" w:hAnsi="Times New Roman" w:cs="Times New Roman"/>
          <w:sz w:val="26"/>
          <w:szCs w:val="26"/>
        </w:rPr>
        <w:t xml:space="preserve">trong tháng </w:t>
      </w:r>
      <w:r w:rsidR="008357CB">
        <w:rPr>
          <w:rFonts w:ascii="Times New Roman" w:hAnsi="Times New Roman" w:cs="Times New Roman"/>
          <w:sz w:val="26"/>
          <w:szCs w:val="26"/>
        </w:rPr>
        <w:t>4</w:t>
      </w:r>
      <w:r w:rsidR="00B360F6" w:rsidRPr="00B360F6">
        <w:rPr>
          <w:rFonts w:ascii="Times New Roman" w:hAnsi="Times New Roman" w:cs="Times New Roman"/>
          <w:sz w:val="26"/>
          <w:szCs w:val="26"/>
        </w:rPr>
        <w:t xml:space="preserve">/2019, </w:t>
      </w:r>
      <w:r w:rsidR="008357CB">
        <w:rPr>
          <w:rFonts w:ascii="Times New Roman" w:hAnsi="Times New Roman" w:cs="Times New Roman"/>
          <w:sz w:val="26"/>
          <w:szCs w:val="26"/>
        </w:rPr>
        <w:t>số</w:t>
      </w:r>
      <w:r w:rsidR="00B360F6" w:rsidRPr="00B360F6">
        <w:rPr>
          <w:rFonts w:ascii="Times New Roman" w:hAnsi="Times New Roman" w:cs="Times New Roman"/>
          <w:sz w:val="26"/>
          <w:szCs w:val="26"/>
        </w:rPr>
        <w:t xml:space="preserve"> tàu mang quốc tị</w:t>
      </w:r>
      <w:r w:rsidR="008357CB">
        <w:rPr>
          <w:rFonts w:ascii="Times New Roman" w:hAnsi="Times New Roman" w:cs="Times New Roman"/>
          <w:sz w:val="26"/>
          <w:szCs w:val="26"/>
        </w:rPr>
        <w:t>ch Singapore đã giảm 01 chiếc so với tháng trước, còn</w:t>
      </w:r>
      <w:r w:rsidR="00B360F6" w:rsidRPr="00B360F6">
        <w:rPr>
          <w:rFonts w:ascii="Times New Roman" w:hAnsi="Times New Roman" w:cs="Times New Roman"/>
          <w:sz w:val="26"/>
          <w:szCs w:val="26"/>
        </w:rPr>
        <w:t xml:space="preserve"> 447</w:t>
      </w:r>
      <w:r w:rsidR="008357CB">
        <w:rPr>
          <w:rFonts w:ascii="Times New Roman" w:hAnsi="Times New Roman" w:cs="Times New Roman"/>
          <w:sz w:val="26"/>
          <w:szCs w:val="26"/>
        </w:rPr>
        <w:t>1</w:t>
      </w:r>
      <w:r w:rsidR="00B360F6" w:rsidRPr="00B360F6">
        <w:rPr>
          <w:rFonts w:ascii="Times New Roman" w:hAnsi="Times New Roman" w:cs="Times New Roman"/>
          <w:sz w:val="26"/>
          <w:szCs w:val="26"/>
        </w:rPr>
        <w:t xml:space="preserve"> chiếc, </w:t>
      </w:r>
      <w:r w:rsidR="008357CB">
        <w:rPr>
          <w:rFonts w:ascii="Times New Roman" w:hAnsi="Times New Roman" w:cs="Times New Roman"/>
          <w:sz w:val="26"/>
          <w:szCs w:val="26"/>
        </w:rPr>
        <w:t xml:space="preserve">nhưng </w:t>
      </w:r>
      <w:r w:rsidR="00B360F6" w:rsidRPr="00B360F6">
        <w:rPr>
          <w:rFonts w:ascii="Times New Roman" w:hAnsi="Times New Roman" w:cs="Times New Roman"/>
          <w:sz w:val="26"/>
          <w:szCs w:val="26"/>
        </w:rPr>
        <w:t>tải trọ</w:t>
      </w:r>
      <w:r w:rsidR="008357CB">
        <w:rPr>
          <w:rFonts w:ascii="Times New Roman" w:hAnsi="Times New Roman" w:cs="Times New Roman"/>
          <w:sz w:val="26"/>
          <w:szCs w:val="26"/>
        </w:rPr>
        <w:t xml:space="preserve">ng vẫn tăng lên, đạt 93.026 </w:t>
      </w:r>
      <w:r w:rsidR="00B360F6" w:rsidRPr="00B360F6">
        <w:rPr>
          <w:rFonts w:ascii="Times New Roman" w:hAnsi="Times New Roman" w:cs="Times New Roman"/>
          <w:sz w:val="26"/>
          <w:szCs w:val="26"/>
        </w:rPr>
        <w:t xml:space="preserve">triệu tấn. </w:t>
      </w:r>
    </w:p>
    <w:p w:rsidR="0054641A" w:rsidRPr="00B360F6" w:rsidRDefault="00F573B3" w:rsidP="00B360F6">
      <w:pPr>
        <w:pStyle w:val="Caption"/>
        <w:spacing w:before="120" w:after="120" w:line="312" w:lineRule="auto"/>
        <w:jc w:val="center"/>
        <w:rPr>
          <w:rFonts w:ascii="Times New Roman" w:hAnsi="Times New Roman" w:cs="Times New Roman"/>
          <w:iCs/>
          <w:sz w:val="26"/>
          <w:szCs w:val="26"/>
        </w:rPr>
      </w:pPr>
      <w:bookmarkStart w:id="6" w:name="_Toc10108638"/>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E91310" w:rsidRDefault="008357CB" w:rsidP="00F74E5E">
      <w:pPr>
        <w:spacing w:before="120" w:after="120" w:line="312" w:lineRule="auto"/>
        <w:jc w:val="center"/>
        <w:rPr>
          <w:noProof/>
        </w:rPr>
      </w:pPr>
      <w:r>
        <w:rPr>
          <w:noProof/>
        </w:rPr>
        <w:drawing>
          <wp:inline distT="0" distB="0" distL="0" distR="0" wp14:anchorId="28C4731A" wp14:editId="13806C4A">
            <wp:extent cx="5032375" cy="28448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60F6" w:rsidRDefault="00C76AC9" w:rsidP="008357CB">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E751FA" w:rsidRPr="00E751FA" w:rsidRDefault="00E751FA" w:rsidP="00E751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S</w:t>
      </w:r>
      <w:r w:rsidRPr="006A0A2F">
        <w:rPr>
          <w:rFonts w:ascii="Times New Roman" w:hAnsi="Times New Roman" w:cs="Times New Roman"/>
          <w:sz w:val="26"/>
          <w:szCs w:val="26"/>
        </w:rPr>
        <w:t xml:space="preserve">ố lượng tàu qua cảng của Singapore </w:t>
      </w:r>
      <w:r>
        <w:rPr>
          <w:rFonts w:ascii="Times New Roman" w:hAnsi="Times New Roman" w:cs="Times New Roman"/>
          <w:sz w:val="26"/>
          <w:szCs w:val="26"/>
        </w:rPr>
        <w:t>trong tháng 4/2019 đạt 11.243 chiếc, giảm 2</w:t>
      </w:r>
      <w:proofErr w:type="gramStart"/>
      <w:r>
        <w:rPr>
          <w:rFonts w:ascii="Times New Roman" w:hAnsi="Times New Roman" w:cs="Times New Roman"/>
          <w:sz w:val="26"/>
          <w:szCs w:val="26"/>
        </w:rPr>
        <w:t>,31</w:t>
      </w:r>
      <w:proofErr w:type="gramEnd"/>
      <w:r>
        <w:rPr>
          <w:rFonts w:ascii="Times New Roman" w:hAnsi="Times New Roman" w:cs="Times New Roman"/>
          <w:sz w:val="26"/>
          <w:szCs w:val="26"/>
        </w:rPr>
        <w:t>% so với tháng trước đó. Tính chung 4 tháng đầu năm 2019, có tổng cộng 44.705 tàu qua cảng của Singapore, giảm 7</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xml:space="preserve">% so với cùng kỳ năm 2018. </w:t>
      </w:r>
    </w:p>
    <w:p w:rsidR="00B360F6" w:rsidRP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sidRPr="00B360F6">
        <w:rPr>
          <w:rFonts w:ascii="Times New Roman" w:hAnsi="Times New Roman" w:cs="Times New Roman"/>
          <w:sz w:val="26"/>
          <w:szCs w:val="26"/>
        </w:rPr>
        <w:t xml:space="preserve">Lượng hàng hóa qua cảng: </w:t>
      </w:r>
    </w:p>
    <w:p w:rsidR="00C76AC9"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933F3F">
        <w:rPr>
          <w:rFonts w:ascii="Times New Roman" w:hAnsi="Times New Roman" w:cs="Times New Roman"/>
          <w:sz w:val="26"/>
          <w:szCs w:val="26"/>
        </w:rPr>
        <w:t>5</w:t>
      </w:r>
      <w:r w:rsidR="008357CB">
        <w:rPr>
          <w:rFonts w:ascii="Times New Roman" w:hAnsi="Times New Roman" w:cs="Times New Roman"/>
          <w:sz w:val="26"/>
          <w:szCs w:val="26"/>
        </w:rPr>
        <w:t>3</w:t>
      </w:r>
      <w:proofErr w:type="gramStart"/>
      <w:r w:rsidR="008357CB">
        <w:rPr>
          <w:rFonts w:ascii="Times New Roman" w:hAnsi="Times New Roman" w:cs="Times New Roman"/>
          <w:sz w:val="26"/>
          <w:szCs w:val="26"/>
        </w:rPr>
        <w:t>,8</w:t>
      </w:r>
      <w:proofErr w:type="gramEnd"/>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8357CB">
        <w:rPr>
          <w:rFonts w:ascii="Times New Roman" w:hAnsi="Times New Roman" w:cs="Times New Roman"/>
          <w:sz w:val="26"/>
          <w:szCs w:val="26"/>
        </w:rPr>
        <w:t>4</w:t>
      </w:r>
      <w:r w:rsidR="001E57FC">
        <w:rPr>
          <w:rFonts w:ascii="Times New Roman" w:hAnsi="Times New Roman" w:cs="Times New Roman"/>
          <w:sz w:val="26"/>
          <w:szCs w:val="26"/>
        </w:rPr>
        <w:t>/2019</w:t>
      </w:r>
      <w:r w:rsidRPr="006A0A2F">
        <w:rPr>
          <w:rFonts w:ascii="Times New Roman" w:hAnsi="Times New Roman" w:cs="Times New Roman"/>
          <w:sz w:val="26"/>
          <w:szCs w:val="26"/>
        </w:rPr>
        <w:t xml:space="preserve">, </w:t>
      </w:r>
      <w:r w:rsidR="008357CB">
        <w:rPr>
          <w:rFonts w:ascii="Times New Roman" w:hAnsi="Times New Roman" w:cs="Times New Roman"/>
          <w:sz w:val="26"/>
          <w:szCs w:val="26"/>
        </w:rPr>
        <w:t xml:space="preserve">tăng </w:t>
      </w:r>
      <w:r w:rsidR="00E91310">
        <w:rPr>
          <w:rFonts w:ascii="Times New Roman" w:hAnsi="Times New Roman" w:cs="Times New Roman"/>
          <w:sz w:val="26"/>
          <w:szCs w:val="26"/>
        </w:rPr>
        <w:t xml:space="preserve">nhẹ </w:t>
      </w:r>
      <w:r w:rsidR="008357CB">
        <w:rPr>
          <w:rFonts w:ascii="Times New Roman" w:hAnsi="Times New Roman" w:cs="Times New Roman"/>
          <w:sz w:val="26"/>
          <w:szCs w:val="26"/>
        </w:rPr>
        <w:t>3</w:t>
      </w:r>
      <w:r w:rsidR="00933F3F">
        <w:rPr>
          <w:rFonts w:ascii="Times New Roman" w:hAnsi="Times New Roman" w:cs="Times New Roman"/>
          <w:sz w:val="26"/>
          <w:szCs w:val="26"/>
        </w:rPr>
        <w:t>,4</w:t>
      </w:r>
      <w:r w:rsidR="008357CB">
        <w:rPr>
          <w:rFonts w:ascii="Times New Roman" w:hAnsi="Times New Roman" w:cs="Times New Roman"/>
          <w:sz w:val="26"/>
          <w:szCs w:val="26"/>
        </w:rPr>
        <w:t>4</w:t>
      </w:r>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w:t>
      </w:r>
      <w:r w:rsidR="00E91310">
        <w:rPr>
          <w:rFonts w:ascii="Times New Roman" w:hAnsi="Times New Roman" w:cs="Times New Roman"/>
          <w:sz w:val="26"/>
          <w:szCs w:val="26"/>
        </w:rPr>
        <w:t xml:space="preserve"> Nhưng t</w:t>
      </w:r>
      <w:r w:rsidR="00ED5EC1">
        <w:rPr>
          <w:rFonts w:ascii="Times New Roman" w:hAnsi="Times New Roman" w:cs="Times New Roman"/>
          <w:sz w:val="26"/>
          <w:szCs w:val="26"/>
        </w:rPr>
        <w:t xml:space="preserve">ính chung </w:t>
      </w:r>
      <w:r w:rsidR="008357CB">
        <w:rPr>
          <w:rFonts w:ascii="Times New Roman" w:hAnsi="Times New Roman" w:cs="Times New Roman"/>
          <w:sz w:val="26"/>
          <w:szCs w:val="26"/>
        </w:rPr>
        <w:t>4 tháng đầu năm 20</w:t>
      </w:r>
      <w:r w:rsidR="00933F3F">
        <w:rPr>
          <w:rFonts w:ascii="Times New Roman" w:hAnsi="Times New Roman" w:cs="Times New Roman"/>
          <w:sz w:val="26"/>
          <w:szCs w:val="26"/>
        </w:rPr>
        <w:t>19</w:t>
      </w:r>
      <w:r w:rsidR="00ED5EC1">
        <w:rPr>
          <w:rFonts w:ascii="Times New Roman" w:hAnsi="Times New Roman" w:cs="Times New Roman"/>
          <w:sz w:val="26"/>
          <w:szCs w:val="26"/>
        </w:rPr>
        <w:t xml:space="preserve">, lưu lượng hàng hóa qua cảng biển nước này </w:t>
      </w:r>
      <w:r w:rsidR="00E91310">
        <w:rPr>
          <w:rFonts w:ascii="Times New Roman" w:hAnsi="Times New Roman" w:cs="Times New Roman"/>
          <w:sz w:val="26"/>
          <w:szCs w:val="26"/>
        </w:rPr>
        <w:t>vẫn giảm 0</w:t>
      </w:r>
      <w:proofErr w:type="gramStart"/>
      <w:r w:rsidR="00E91310">
        <w:rPr>
          <w:rFonts w:ascii="Times New Roman" w:hAnsi="Times New Roman" w:cs="Times New Roman"/>
          <w:sz w:val="26"/>
          <w:szCs w:val="26"/>
        </w:rPr>
        <w:t>,8</w:t>
      </w:r>
      <w:proofErr w:type="gramEnd"/>
      <w:r w:rsidR="00E91310">
        <w:rPr>
          <w:rFonts w:ascii="Times New Roman" w:hAnsi="Times New Roman" w:cs="Times New Roman"/>
          <w:sz w:val="26"/>
          <w:szCs w:val="26"/>
        </w:rPr>
        <w:t xml:space="preserve">% so với cùng kỳ năm 2018, chỉ </w:t>
      </w:r>
      <w:r w:rsidR="00ED5EC1">
        <w:rPr>
          <w:rFonts w:ascii="Times New Roman" w:hAnsi="Times New Roman" w:cs="Times New Roman"/>
          <w:sz w:val="26"/>
          <w:szCs w:val="26"/>
        </w:rPr>
        <w:t>đạ</w:t>
      </w:r>
      <w:r w:rsidR="00933F3F">
        <w:rPr>
          <w:rFonts w:ascii="Times New Roman" w:hAnsi="Times New Roman" w:cs="Times New Roman"/>
          <w:sz w:val="26"/>
          <w:szCs w:val="26"/>
        </w:rPr>
        <w:t xml:space="preserve">t </w:t>
      </w:r>
      <w:r w:rsidR="008357CB">
        <w:rPr>
          <w:rFonts w:ascii="Times New Roman" w:hAnsi="Times New Roman" w:cs="Times New Roman"/>
          <w:sz w:val="26"/>
          <w:szCs w:val="26"/>
        </w:rPr>
        <w:t>205,7</w:t>
      </w:r>
      <w:r w:rsidR="00933F3F">
        <w:rPr>
          <w:rFonts w:ascii="Times New Roman" w:hAnsi="Times New Roman" w:cs="Times New Roman"/>
          <w:sz w:val="26"/>
          <w:szCs w:val="26"/>
        </w:rPr>
        <w:t xml:space="preserve"> </w:t>
      </w:r>
      <w:r w:rsidR="00ED5EC1">
        <w:rPr>
          <w:rFonts w:ascii="Times New Roman" w:hAnsi="Times New Roman" w:cs="Times New Roman"/>
          <w:sz w:val="26"/>
          <w:szCs w:val="26"/>
        </w:rPr>
        <w:t xml:space="preserve">triệu tấn, </w:t>
      </w:r>
    </w:p>
    <w:p w:rsidR="00E252B7" w:rsidRPr="004E0D3E" w:rsidRDefault="00F573B3" w:rsidP="004E0D3E">
      <w:pPr>
        <w:pStyle w:val="Caption"/>
        <w:spacing w:before="120" w:after="120" w:line="312" w:lineRule="auto"/>
        <w:jc w:val="center"/>
        <w:rPr>
          <w:rFonts w:ascii="Times New Roman" w:hAnsi="Times New Roman" w:cs="Times New Roman"/>
          <w:iCs/>
          <w:sz w:val="26"/>
          <w:szCs w:val="26"/>
        </w:rPr>
      </w:pPr>
      <w:bookmarkStart w:id="7" w:name="_Toc10108639"/>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8E2BF1" w:rsidRPr="006A0A2F" w:rsidRDefault="00E91310" w:rsidP="006A0A2F">
      <w:pPr>
        <w:spacing w:before="120" w:after="120" w:line="312" w:lineRule="auto"/>
        <w:ind w:firstLine="720"/>
        <w:jc w:val="center"/>
        <w:rPr>
          <w:rFonts w:ascii="Times New Roman" w:hAnsi="Times New Roman" w:cs="Times New Roman"/>
          <w:i/>
          <w:sz w:val="26"/>
          <w:szCs w:val="26"/>
        </w:rPr>
      </w:pPr>
      <w:r w:rsidRPr="00E91310">
        <w:rPr>
          <w:noProof/>
        </w:rPr>
        <w:t xml:space="preserve"> </w:t>
      </w:r>
      <w:r>
        <w:rPr>
          <w:noProof/>
        </w:rPr>
        <w:drawing>
          <wp:inline distT="0" distB="0" distL="0" distR="0" wp14:anchorId="33DE7B24" wp14:editId="646B4E96">
            <wp:extent cx="4835525" cy="2743200"/>
            <wp:effectExtent l="0" t="0" r="222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2BF1" w:rsidRPr="006A0A2F">
        <w:rPr>
          <w:rFonts w:ascii="Times New Roman" w:hAnsi="Times New Roman" w:cs="Times New Roman"/>
          <w:i/>
          <w:sz w:val="26"/>
          <w:szCs w:val="26"/>
        </w:rPr>
        <w:t>Nguồn: Cơ quan Hàng hải và Cảng biển Singapore</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Lưu lượng container qua cảng:</w:t>
      </w:r>
    </w:p>
    <w:p w:rsidR="00F43588" w:rsidRPr="00B360F6" w:rsidRDefault="004A1864"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Lưu lượng container</w:t>
      </w:r>
      <w:r w:rsidR="005E5765" w:rsidRPr="00B360F6">
        <w:rPr>
          <w:rFonts w:ascii="Times New Roman" w:hAnsi="Times New Roman" w:cs="Times New Roman"/>
          <w:sz w:val="26"/>
          <w:szCs w:val="26"/>
        </w:rPr>
        <w:t xml:space="preserve"> qua cảng của Singapore </w:t>
      </w:r>
      <w:r w:rsidR="002767D0" w:rsidRPr="00B360F6">
        <w:rPr>
          <w:rFonts w:ascii="Times New Roman" w:hAnsi="Times New Roman" w:cs="Times New Roman"/>
          <w:sz w:val="26"/>
          <w:szCs w:val="26"/>
        </w:rPr>
        <w:t xml:space="preserve">trong tháng </w:t>
      </w:r>
      <w:r w:rsidR="00E91310">
        <w:rPr>
          <w:rFonts w:ascii="Times New Roman" w:hAnsi="Times New Roman" w:cs="Times New Roman"/>
          <w:sz w:val="26"/>
          <w:szCs w:val="26"/>
        </w:rPr>
        <w:t>4</w:t>
      </w:r>
      <w:r w:rsidR="001A02E1" w:rsidRPr="00B360F6">
        <w:rPr>
          <w:rFonts w:ascii="Times New Roman" w:hAnsi="Times New Roman" w:cs="Times New Roman"/>
          <w:sz w:val="26"/>
          <w:szCs w:val="26"/>
        </w:rPr>
        <w:t>/2019 đạ</w:t>
      </w:r>
      <w:r w:rsidR="00ED5EC1" w:rsidRPr="00B360F6">
        <w:rPr>
          <w:rFonts w:ascii="Times New Roman" w:hAnsi="Times New Roman" w:cs="Times New Roman"/>
          <w:sz w:val="26"/>
          <w:szCs w:val="26"/>
        </w:rPr>
        <w:t xml:space="preserve">t </w:t>
      </w:r>
      <w:r w:rsidR="00E91310">
        <w:rPr>
          <w:rFonts w:ascii="Times New Roman" w:hAnsi="Times New Roman" w:cs="Times New Roman"/>
          <w:sz w:val="26"/>
          <w:szCs w:val="26"/>
        </w:rPr>
        <w:t>2</w:t>
      </w:r>
      <w:proofErr w:type="gramStart"/>
      <w:r w:rsidR="00E91310">
        <w:rPr>
          <w:rFonts w:ascii="Times New Roman" w:hAnsi="Times New Roman" w:cs="Times New Roman"/>
          <w:sz w:val="26"/>
          <w:szCs w:val="26"/>
        </w:rPr>
        <w:t>,99</w:t>
      </w:r>
      <w:proofErr w:type="gramEnd"/>
      <w:r w:rsidR="001A02E1" w:rsidRPr="00B360F6">
        <w:rPr>
          <w:rFonts w:ascii="Times New Roman" w:hAnsi="Times New Roman" w:cs="Times New Roman"/>
          <w:sz w:val="26"/>
          <w:szCs w:val="26"/>
        </w:rPr>
        <w:t xml:space="preserve"> triệ</w:t>
      </w:r>
      <w:r w:rsidR="00F935A7" w:rsidRPr="00B360F6">
        <w:rPr>
          <w:rFonts w:ascii="Times New Roman" w:hAnsi="Times New Roman" w:cs="Times New Roman"/>
          <w:sz w:val="26"/>
          <w:szCs w:val="26"/>
        </w:rPr>
        <w:t xml:space="preserve">u TEUs, </w:t>
      </w:r>
      <w:r w:rsidR="00E91310">
        <w:rPr>
          <w:rFonts w:ascii="Times New Roman" w:hAnsi="Times New Roman" w:cs="Times New Roman"/>
          <w:sz w:val="26"/>
          <w:szCs w:val="26"/>
        </w:rPr>
        <w:t>giảm 2,43</w:t>
      </w:r>
      <w:r w:rsidR="001A02E1" w:rsidRPr="00B360F6">
        <w:rPr>
          <w:rFonts w:ascii="Times New Roman" w:hAnsi="Times New Roman" w:cs="Times New Roman"/>
          <w:sz w:val="26"/>
          <w:szCs w:val="26"/>
        </w:rPr>
        <w:t xml:space="preserve">% </w:t>
      </w:r>
      <w:r w:rsidR="002767D0" w:rsidRPr="00B360F6">
        <w:rPr>
          <w:rFonts w:ascii="Times New Roman" w:hAnsi="Times New Roman" w:cs="Times New Roman"/>
          <w:sz w:val="26"/>
          <w:szCs w:val="26"/>
        </w:rPr>
        <w:t>so với tháng trướ</w:t>
      </w:r>
      <w:r w:rsidR="00520DF5" w:rsidRPr="00B360F6">
        <w:rPr>
          <w:rFonts w:ascii="Times New Roman" w:hAnsi="Times New Roman" w:cs="Times New Roman"/>
          <w:sz w:val="26"/>
          <w:szCs w:val="26"/>
        </w:rPr>
        <w:t xml:space="preserve">c. </w:t>
      </w:r>
      <w:r w:rsidR="00ED5EC1" w:rsidRPr="00B360F6">
        <w:rPr>
          <w:rFonts w:ascii="Times New Roman" w:hAnsi="Times New Roman" w:cs="Times New Roman"/>
          <w:sz w:val="26"/>
          <w:szCs w:val="26"/>
        </w:rPr>
        <w:t>Như vậy tổng lưu lượ</w:t>
      </w:r>
      <w:r w:rsidR="00F935A7" w:rsidRPr="00B360F6">
        <w:rPr>
          <w:rFonts w:ascii="Times New Roman" w:hAnsi="Times New Roman" w:cs="Times New Roman"/>
          <w:sz w:val="26"/>
          <w:szCs w:val="26"/>
        </w:rPr>
        <w:t xml:space="preserve">ng container trong </w:t>
      </w:r>
      <w:r w:rsidR="00E91310">
        <w:rPr>
          <w:rFonts w:ascii="Times New Roman" w:hAnsi="Times New Roman" w:cs="Times New Roman"/>
          <w:sz w:val="26"/>
          <w:szCs w:val="26"/>
        </w:rPr>
        <w:t>4</w:t>
      </w:r>
      <w:r w:rsidR="00ED5EC1" w:rsidRPr="00B360F6">
        <w:rPr>
          <w:rFonts w:ascii="Times New Roman" w:hAnsi="Times New Roman" w:cs="Times New Roman"/>
          <w:sz w:val="26"/>
          <w:szCs w:val="26"/>
        </w:rPr>
        <w:t xml:space="preserve"> tháng đầu năm đạt </w:t>
      </w:r>
      <w:r w:rsidR="00E91310">
        <w:rPr>
          <w:rFonts w:ascii="Times New Roman" w:hAnsi="Times New Roman" w:cs="Times New Roman"/>
          <w:sz w:val="26"/>
          <w:szCs w:val="26"/>
        </w:rPr>
        <w:t>11</w:t>
      </w:r>
      <w:proofErr w:type="gramStart"/>
      <w:r w:rsidR="00E91310">
        <w:rPr>
          <w:rFonts w:ascii="Times New Roman" w:hAnsi="Times New Roman" w:cs="Times New Roman"/>
          <w:sz w:val="26"/>
          <w:szCs w:val="26"/>
        </w:rPr>
        <w:t>,8</w:t>
      </w:r>
      <w:r w:rsidR="00F935A7" w:rsidRPr="00B360F6">
        <w:rPr>
          <w:rFonts w:ascii="Times New Roman" w:hAnsi="Times New Roman" w:cs="Times New Roman"/>
          <w:sz w:val="26"/>
          <w:szCs w:val="26"/>
        </w:rPr>
        <w:t>9</w:t>
      </w:r>
      <w:proofErr w:type="gramEnd"/>
      <w:r w:rsidR="00ED5EC1" w:rsidRPr="00B360F6">
        <w:rPr>
          <w:rFonts w:ascii="Times New Roman" w:hAnsi="Times New Roman" w:cs="Times New Roman"/>
          <w:sz w:val="26"/>
          <w:szCs w:val="26"/>
        </w:rPr>
        <w:t xml:space="preserve"> triệu TEUs, </w:t>
      </w:r>
      <w:r w:rsidR="00F935A7" w:rsidRPr="00B360F6">
        <w:rPr>
          <w:rFonts w:ascii="Times New Roman" w:hAnsi="Times New Roman" w:cs="Times New Roman"/>
          <w:sz w:val="26"/>
          <w:szCs w:val="26"/>
        </w:rPr>
        <w:t xml:space="preserve">tăng </w:t>
      </w:r>
      <w:r w:rsidR="00E91310">
        <w:rPr>
          <w:rFonts w:ascii="Times New Roman" w:hAnsi="Times New Roman" w:cs="Times New Roman"/>
          <w:sz w:val="26"/>
          <w:szCs w:val="26"/>
        </w:rPr>
        <w:t>1,1</w:t>
      </w:r>
      <w:r w:rsidR="00F935A7" w:rsidRPr="00B360F6">
        <w:rPr>
          <w:rFonts w:ascii="Times New Roman" w:hAnsi="Times New Roman" w:cs="Times New Roman"/>
          <w:sz w:val="26"/>
          <w:szCs w:val="26"/>
        </w:rPr>
        <w:t xml:space="preserve"> </w:t>
      </w:r>
      <w:r w:rsidR="00ED5EC1" w:rsidRPr="00B360F6">
        <w:rPr>
          <w:rFonts w:ascii="Times New Roman" w:hAnsi="Times New Roman" w:cs="Times New Roman"/>
          <w:sz w:val="26"/>
          <w:szCs w:val="26"/>
        </w:rPr>
        <w:t xml:space="preserve">% so với cùng kỳ năm trước. </w:t>
      </w:r>
    </w:p>
    <w:p w:rsidR="0054641A" w:rsidRDefault="004A1864" w:rsidP="00E91310">
      <w:pPr>
        <w:pStyle w:val="Caption"/>
        <w:spacing w:before="120" w:after="120" w:line="312" w:lineRule="auto"/>
        <w:jc w:val="center"/>
        <w:rPr>
          <w:rFonts w:ascii="Times New Roman" w:hAnsi="Times New Roman" w:cs="Times New Roman"/>
          <w:i/>
          <w:sz w:val="26"/>
          <w:szCs w:val="26"/>
        </w:rPr>
      </w:pPr>
      <w:bookmarkStart w:id="8" w:name="_Toc10108640"/>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r w:rsidR="00973B10" w:rsidRPr="00973B10">
        <w:rPr>
          <w:noProof/>
        </w:rPr>
        <w:t xml:space="preserve"> </w:t>
      </w:r>
      <w:r w:rsidR="005F2D19" w:rsidRPr="006A0A2F">
        <w:rPr>
          <w:rFonts w:ascii="Times New Roman" w:hAnsi="Times New Roman" w:cs="Times New Roman"/>
          <w:i/>
          <w:sz w:val="26"/>
          <w:szCs w:val="26"/>
        </w:rPr>
        <w:t xml:space="preserve"> </w:t>
      </w:r>
    </w:p>
    <w:p w:rsidR="00E91310" w:rsidRDefault="00E91310" w:rsidP="000F08A1">
      <w:pPr>
        <w:pStyle w:val="Caption"/>
        <w:spacing w:before="120" w:after="120" w:line="312" w:lineRule="auto"/>
        <w:jc w:val="center"/>
        <w:rPr>
          <w:rFonts w:ascii="Times New Roman" w:hAnsi="Times New Roman" w:cs="Times New Roman"/>
          <w:i/>
          <w:sz w:val="26"/>
          <w:szCs w:val="26"/>
        </w:rPr>
      </w:pPr>
      <w:r>
        <w:rPr>
          <w:noProof/>
        </w:rPr>
        <w:lastRenderedPageBreak/>
        <w:drawing>
          <wp:inline distT="0" distB="0" distL="0" distR="0" wp14:anchorId="251C7AD6" wp14:editId="3FD83BBA">
            <wp:extent cx="5486400" cy="3123028"/>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E02" w:rsidRDefault="005E5765" w:rsidP="000F08A1">
      <w:pPr>
        <w:pStyle w:val="Caption"/>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0D5052" w:rsidRPr="00816DF5" w:rsidRDefault="004A1864" w:rsidP="00816DF5">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1A02E1" w:rsidRDefault="00EA04DA" w:rsidP="002D5F4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Lượng hàng hóa vận chuyển qua sân bay Changi (Singapore) đã giảm 12</w:t>
      </w:r>
      <w:proofErr w:type="gramStart"/>
      <w:r>
        <w:rPr>
          <w:rFonts w:ascii="Times New Roman" w:hAnsi="Times New Roman" w:cs="Times New Roman"/>
          <w:sz w:val="26"/>
          <w:szCs w:val="26"/>
        </w:rPr>
        <w:t>,8</w:t>
      </w:r>
      <w:proofErr w:type="gramEnd"/>
      <w:r>
        <w:rPr>
          <w:rFonts w:ascii="Times New Roman" w:hAnsi="Times New Roman" w:cs="Times New Roman"/>
          <w:sz w:val="26"/>
          <w:szCs w:val="26"/>
        </w:rPr>
        <w:t>% trong tháng 4/2019 xuống còn 156.000 tấn. Trong khi đó vận chuyển hàng khách vẫn tăng 2</w:t>
      </w:r>
      <w:proofErr w:type="gramStart"/>
      <w:r>
        <w:rPr>
          <w:rFonts w:ascii="Times New Roman" w:hAnsi="Times New Roman" w:cs="Times New Roman"/>
          <w:sz w:val="26"/>
          <w:szCs w:val="26"/>
        </w:rPr>
        <w:t>,8</w:t>
      </w:r>
      <w:proofErr w:type="gramEnd"/>
      <w:r>
        <w:rPr>
          <w:rFonts w:ascii="Times New Roman" w:hAnsi="Times New Roman" w:cs="Times New Roman"/>
          <w:sz w:val="26"/>
          <w:szCs w:val="26"/>
        </w:rPr>
        <w:t xml:space="preserve">% lên 5,58 triệu hành khách. </w:t>
      </w:r>
    </w:p>
    <w:p w:rsidR="00EA04DA" w:rsidRDefault="00EA04DA" w:rsidP="002D5F42">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Trong số 10 thị trường khách hàng lớn nhất, Australia vẫn dẫn đầu với mức tăng trưởng 8% so với cùng kỳ năm trước.</w:t>
      </w:r>
      <w:proofErr w:type="gramEnd"/>
      <w:r>
        <w:rPr>
          <w:rFonts w:ascii="Times New Roman" w:hAnsi="Times New Roman" w:cs="Times New Roman"/>
          <w:sz w:val="26"/>
          <w:szCs w:val="26"/>
        </w:rPr>
        <w:t xml:space="preserve"> </w:t>
      </w:r>
    </w:p>
    <w:p w:rsidR="00EA04DA" w:rsidRPr="001A02E1" w:rsidRDefault="00EA04DA" w:rsidP="002D5F42">
      <w:pPr>
        <w:spacing w:before="120" w:after="120" w:line="312" w:lineRule="auto"/>
        <w:ind w:firstLine="720"/>
        <w:jc w:val="both"/>
        <w:rPr>
          <w:rFonts w:ascii="Times New Roman" w:hAnsi="Times New Roman" w:cs="Times New Roman"/>
          <w:sz w:val="26"/>
          <w:szCs w:val="26"/>
        </w:rPr>
      </w:pPr>
      <w:r w:rsidRPr="00EA04DA">
        <w:rPr>
          <w:rFonts w:ascii="Times New Roman" w:hAnsi="Times New Roman" w:cs="Times New Roman"/>
          <w:sz w:val="26"/>
          <w:szCs w:val="26"/>
        </w:rPr>
        <w:t xml:space="preserve">Tính đến ngày 1 tháng 5 năm 2019, hơn 100 hãng hàng không hoạt động tại Sân bay Changi, kết nối Singapore với khoảng 400 thành phố ở khoảng 100 quốc gia và vùng lãnh thổ trên toàn thế giới. Với hơn 7.400 chuyến bay </w:t>
      </w:r>
      <w:proofErr w:type="gramStart"/>
      <w:r w:rsidRPr="00EA04DA">
        <w:rPr>
          <w:rFonts w:ascii="Times New Roman" w:hAnsi="Times New Roman" w:cs="Times New Roman"/>
          <w:sz w:val="26"/>
          <w:szCs w:val="26"/>
        </w:rPr>
        <w:t>theo</w:t>
      </w:r>
      <w:proofErr w:type="gramEnd"/>
      <w:r w:rsidRPr="00EA04DA">
        <w:rPr>
          <w:rFonts w:ascii="Times New Roman" w:hAnsi="Times New Roman" w:cs="Times New Roman"/>
          <w:sz w:val="26"/>
          <w:szCs w:val="26"/>
        </w:rPr>
        <w:t xml:space="preserve"> lịch trình hàng tuần, một chiếc máy bay cất cánh hoặc hạ cánh tại Changi cứ sau khoảng 80 giây.</w:t>
      </w:r>
    </w:p>
    <w:p w:rsidR="008449D2" w:rsidRPr="00441806" w:rsidRDefault="00536B77" w:rsidP="00441806">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9" w:name="_Toc10108628"/>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441806" w:rsidRDefault="00441806" w:rsidP="005704B2">
      <w:pPr>
        <w:spacing w:before="120" w:after="12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rPr>
        <w:t xml:space="preserve">Singapore phát triển công nghệ </w:t>
      </w:r>
      <w:proofErr w:type="gramStart"/>
      <w:r>
        <w:rPr>
          <w:rFonts w:ascii="Times New Roman" w:hAnsi="Times New Roman" w:cs="Times New Roman"/>
          <w:b/>
          <w:i/>
          <w:sz w:val="26"/>
          <w:szCs w:val="26"/>
        </w:rPr>
        <w:t>theo</w:t>
      </w:r>
      <w:proofErr w:type="gramEnd"/>
      <w:r>
        <w:rPr>
          <w:rFonts w:ascii="Times New Roman" w:hAnsi="Times New Roman" w:cs="Times New Roman"/>
          <w:b/>
          <w:i/>
          <w:sz w:val="26"/>
          <w:szCs w:val="26"/>
        </w:rPr>
        <w:t xml:space="preserve"> dõi chuỗi cung ứng cho các chủ hàng</w:t>
      </w:r>
    </w:p>
    <w:p w:rsidR="005704B2" w:rsidRPr="005704B2" w:rsidRDefault="005704B2" w:rsidP="005704B2">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b/>
          <w:i/>
          <w:sz w:val="26"/>
          <w:szCs w:val="26"/>
        </w:rPr>
        <w:t xml:space="preserve"> </w:t>
      </w:r>
      <w:r w:rsidRPr="003D6A27">
        <w:rPr>
          <w:rFonts w:ascii="Times New Roman" w:hAnsi="Times New Roman" w:cs="Times New Roman"/>
          <w:sz w:val="26"/>
          <w:szCs w:val="26"/>
        </w:rPr>
        <w:t>N</w:t>
      </w:r>
      <w:r w:rsidRPr="005704B2">
        <w:rPr>
          <w:rFonts w:ascii="Times New Roman" w:hAnsi="Times New Roman" w:cs="Times New Roman"/>
          <w:sz w:val="26"/>
          <w:szCs w:val="26"/>
        </w:rPr>
        <w:t>hà khai thác cảng container PSA International và công ty xử lý hàng hóa có trụ sở tại sân bay Changi, SATS ký thỏa thuận tăng cường kết nố</w:t>
      </w:r>
      <w:r>
        <w:rPr>
          <w:rFonts w:ascii="Times New Roman" w:hAnsi="Times New Roman" w:cs="Times New Roman"/>
          <w:sz w:val="26"/>
          <w:szCs w:val="26"/>
        </w:rPr>
        <w:t>i trên không.</w:t>
      </w:r>
    </w:p>
    <w:p w:rsidR="005704B2" w:rsidRDefault="005704B2" w:rsidP="005704B2">
      <w:pPr>
        <w:spacing w:before="120" w:after="120" w:line="312" w:lineRule="auto"/>
        <w:ind w:firstLine="720"/>
        <w:jc w:val="both"/>
        <w:rPr>
          <w:rFonts w:ascii="Times New Roman" w:hAnsi="Times New Roman" w:cs="Times New Roman"/>
          <w:sz w:val="26"/>
          <w:szCs w:val="26"/>
        </w:rPr>
      </w:pPr>
      <w:r w:rsidRPr="005704B2">
        <w:rPr>
          <w:rFonts w:ascii="Times New Roman" w:hAnsi="Times New Roman" w:cs="Times New Roman"/>
          <w:sz w:val="26"/>
          <w:szCs w:val="26"/>
        </w:rPr>
        <w:lastRenderedPageBreak/>
        <w:t>PSA và SATS cho biết họ sẽ hợp tác trong một loạt các sáng kiến đa ngành, đặc biệt là trong các lĩnh vực</w:t>
      </w:r>
      <w:r w:rsidR="005D55B1">
        <w:rPr>
          <w:rFonts w:ascii="Times New Roman" w:hAnsi="Times New Roman" w:cs="Times New Roman"/>
          <w:sz w:val="26"/>
          <w:szCs w:val="26"/>
        </w:rPr>
        <w:t xml:space="preserve"> vận chuyển, bảo quản hàng hóa</w:t>
      </w:r>
      <w:r w:rsidRPr="005704B2">
        <w:rPr>
          <w:rFonts w:ascii="Times New Roman" w:hAnsi="Times New Roman" w:cs="Times New Roman"/>
          <w:sz w:val="26"/>
          <w:szCs w:val="26"/>
        </w:rPr>
        <w:t xml:space="preserve"> dễ hỏng, điện tử và thương mại điện tử. Từ mối liên kết dữ liệu từ sân đến cổng và mở rộng mạng giữa cả hai công ty, đến khả năng tăng cường </w:t>
      </w:r>
      <w:proofErr w:type="gramStart"/>
      <w:r w:rsidRPr="005704B2">
        <w:rPr>
          <w:rFonts w:ascii="Times New Roman" w:hAnsi="Times New Roman" w:cs="Times New Roman"/>
          <w:sz w:val="26"/>
          <w:szCs w:val="26"/>
        </w:rPr>
        <w:t>theo</w:t>
      </w:r>
      <w:proofErr w:type="gramEnd"/>
      <w:r w:rsidRPr="005704B2">
        <w:rPr>
          <w:rFonts w:ascii="Times New Roman" w:hAnsi="Times New Roman" w:cs="Times New Roman"/>
          <w:sz w:val="26"/>
          <w:szCs w:val="26"/>
        </w:rPr>
        <w:t xml:space="preserve"> dõi</w:t>
      </w:r>
      <w:r w:rsidR="005D55B1">
        <w:rPr>
          <w:rFonts w:ascii="Times New Roman" w:hAnsi="Times New Roman" w:cs="Times New Roman"/>
          <w:sz w:val="26"/>
          <w:szCs w:val="26"/>
        </w:rPr>
        <w:t xml:space="preserve"> xuyên suốt chuỗi cung ứng. M</w:t>
      </w:r>
      <w:r w:rsidRPr="005704B2">
        <w:rPr>
          <w:rFonts w:ascii="Times New Roman" w:hAnsi="Times New Roman" w:cs="Times New Roman"/>
          <w:sz w:val="26"/>
          <w:szCs w:val="26"/>
        </w:rPr>
        <w:t>ối quan hệ đối tác sẽ tạo điều kiện minh bạch dữ liệu và dễ dàng di chuyển lô hàng trong các khu vực thương mại tự do (FTZ) khác nhau.</w:t>
      </w:r>
    </w:p>
    <w:p w:rsidR="005704B2" w:rsidRDefault="005704B2" w:rsidP="005704B2">
      <w:pPr>
        <w:spacing w:before="120" w:after="120" w:line="312" w:lineRule="auto"/>
        <w:ind w:firstLine="720"/>
        <w:jc w:val="both"/>
        <w:rPr>
          <w:rFonts w:ascii="Times New Roman" w:hAnsi="Times New Roman" w:cs="Times New Roman"/>
          <w:sz w:val="26"/>
          <w:szCs w:val="26"/>
        </w:rPr>
      </w:pPr>
      <w:proofErr w:type="gramStart"/>
      <w:r w:rsidRPr="005704B2">
        <w:rPr>
          <w:rFonts w:ascii="Times New Roman" w:hAnsi="Times New Roman" w:cs="Times New Roman"/>
          <w:sz w:val="26"/>
          <w:szCs w:val="26"/>
        </w:rPr>
        <w:t>Bản ghi nhớ (MOU) được ký nhằm mục đích cung cấp cho chủ sở hữu hàng hóa và nhà cung cấp dịch vụ hậu cần kết nối liền mạch để đạt hiệu quả cao hơn trong chuỗi cung ứng.</w:t>
      </w:r>
      <w:proofErr w:type="gramEnd"/>
    </w:p>
    <w:p w:rsidR="005704B2" w:rsidRDefault="005704B2" w:rsidP="005704B2">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SA</w:t>
      </w:r>
      <w:r w:rsidRPr="005704B2">
        <w:rPr>
          <w:rFonts w:ascii="Times New Roman" w:hAnsi="Times New Roman" w:cs="Times New Roman"/>
          <w:sz w:val="26"/>
          <w:szCs w:val="26"/>
        </w:rPr>
        <w:t>TS và PSA cũng sẽ tích hợp các hệ thống của họ để hỗ trợ tuân thủ quy định và xây dựng khả năng phân tích dữ liệu.</w:t>
      </w:r>
      <w:proofErr w:type="gramEnd"/>
      <w:r w:rsidRPr="005704B2">
        <w:rPr>
          <w:rFonts w:ascii="Times New Roman" w:hAnsi="Times New Roman" w:cs="Times New Roman"/>
          <w:sz w:val="26"/>
          <w:szCs w:val="26"/>
        </w:rPr>
        <w:t xml:space="preserve"> COSYS +, một hệ thống quản lý và xử lý nhà ga hàng hóa toàn diện do SATS vận hành, sẽ được liên kết với CALISTATM, nền tảng chuỗi cung ứng toàn cầu được phát triển bởi công ty con của PSA GeTS Asia, để cung cấp cập nhật theo thời gian thực và khả năng hiển thị lớn hơn cho các lô hàng được vận chuyển qua các kênh đa phương thức.</w:t>
      </w:r>
    </w:p>
    <w:p w:rsidR="005704B2" w:rsidRDefault="005704B2" w:rsidP="005704B2">
      <w:pPr>
        <w:spacing w:before="120" w:after="120" w:line="312" w:lineRule="auto"/>
        <w:ind w:firstLine="720"/>
        <w:jc w:val="both"/>
        <w:rPr>
          <w:rFonts w:ascii="Times New Roman" w:hAnsi="Times New Roman" w:cs="Times New Roman"/>
          <w:sz w:val="26"/>
          <w:szCs w:val="26"/>
        </w:rPr>
      </w:pPr>
      <w:r w:rsidRPr="005704B2">
        <w:rPr>
          <w:rFonts w:ascii="Times New Roman" w:hAnsi="Times New Roman" w:cs="Times New Roman"/>
          <w:sz w:val="26"/>
          <w:szCs w:val="26"/>
        </w:rPr>
        <w:t xml:space="preserve">Sự hợp tác này với SATS sẽ tăng cường khả năng </w:t>
      </w:r>
      <w:r>
        <w:rPr>
          <w:rFonts w:ascii="Times New Roman" w:hAnsi="Times New Roman" w:cs="Times New Roman"/>
          <w:sz w:val="26"/>
          <w:szCs w:val="26"/>
        </w:rPr>
        <w:t xml:space="preserve">của Singapore trong việc </w:t>
      </w:r>
      <w:r w:rsidRPr="005704B2">
        <w:rPr>
          <w:rFonts w:ascii="Times New Roman" w:hAnsi="Times New Roman" w:cs="Times New Roman"/>
          <w:sz w:val="26"/>
          <w:szCs w:val="26"/>
        </w:rPr>
        <w:t xml:space="preserve">cung cấp kết nối đa phương thức trên biển để đáp ứng các nhu cầu này. Ngoài ra, thông qua kết nối kỹ thuật số CALISTATM và COSYS +, </w:t>
      </w:r>
      <w:r w:rsidR="005D55B1">
        <w:rPr>
          <w:rFonts w:ascii="Times New Roman" w:hAnsi="Times New Roman" w:cs="Times New Roman"/>
          <w:sz w:val="26"/>
          <w:szCs w:val="26"/>
        </w:rPr>
        <w:t>họ</w:t>
      </w:r>
      <w:r w:rsidRPr="005704B2">
        <w:rPr>
          <w:rFonts w:ascii="Times New Roman" w:hAnsi="Times New Roman" w:cs="Times New Roman"/>
          <w:sz w:val="26"/>
          <w:szCs w:val="26"/>
        </w:rPr>
        <w:t xml:space="preserve"> sẽ có thể cung cấp cho </w:t>
      </w:r>
      <w:r w:rsidR="005D55B1">
        <w:rPr>
          <w:rFonts w:ascii="Times New Roman" w:hAnsi="Times New Roman" w:cs="Times New Roman"/>
          <w:sz w:val="26"/>
          <w:szCs w:val="26"/>
        </w:rPr>
        <w:t>các bên liên quan trong vận tải</w:t>
      </w:r>
      <w:r w:rsidRPr="005704B2">
        <w:rPr>
          <w:rFonts w:ascii="Times New Roman" w:hAnsi="Times New Roman" w:cs="Times New Roman"/>
          <w:sz w:val="26"/>
          <w:szCs w:val="26"/>
        </w:rPr>
        <w:t xml:space="preserve"> đa phương thức tầm nhìn tốt hơn về hàng hóa của họ và bảo vệ tốt hơn tính toàn vẹn của hàng hóa, với thời gian và chi phí vận chuyển được tối ưu hóa.</w:t>
      </w:r>
    </w:p>
    <w:p w:rsidR="00441806" w:rsidRDefault="00441806" w:rsidP="005704B2">
      <w:pPr>
        <w:spacing w:before="120" w:after="120" w:line="312" w:lineRule="auto"/>
        <w:ind w:firstLine="720"/>
        <w:jc w:val="both"/>
        <w:rPr>
          <w:rFonts w:ascii="Times New Roman" w:hAnsi="Times New Roman" w:cs="Times New Roman"/>
          <w:b/>
          <w:i/>
          <w:sz w:val="26"/>
          <w:szCs w:val="26"/>
        </w:rPr>
      </w:pPr>
      <w:r w:rsidRPr="00441806">
        <w:rPr>
          <w:rFonts w:ascii="Times New Roman" w:hAnsi="Times New Roman" w:cs="Times New Roman"/>
          <w:b/>
          <w:i/>
          <w:sz w:val="26"/>
          <w:szCs w:val="26"/>
        </w:rPr>
        <w:t>SingPost rời khỏi thị trường Mỹ trong bối cảnh thua lỗ để tập trung vào châu Á</w:t>
      </w:r>
    </w:p>
    <w:p w:rsidR="00441806" w:rsidRPr="00441806" w:rsidRDefault="00441806" w:rsidP="00F74E5E">
      <w:pPr>
        <w:spacing w:before="120" w:after="120" w:line="312" w:lineRule="auto"/>
        <w:ind w:firstLine="720"/>
        <w:jc w:val="both"/>
        <w:rPr>
          <w:rFonts w:ascii="Times New Roman" w:hAnsi="Times New Roman" w:cs="Times New Roman"/>
          <w:sz w:val="26"/>
          <w:szCs w:val="26"/>
        </w:rPr>
      </w:pPr>
      <w:proofErr w:type="gramStart"/>
      <w:r w:rsidRPr="00441806">
        <w:rPr>
          <w:rFonts w:ascii="Times New Roman" w:hAnsi="Times New Roman" w:cs="Times New Roman"/>
          <w:sz w:val="26"/>
          <w:szCs w:val="26"/>
        </w:rPr>
        <w:t xml:space="preserve">Sau khi xem xét chiến lược về các doanh nghiệp tại Hoa Kỳ, Singapore Post Ltd (SingPost) </w:t>
      </w:r>
      <w:r>
        <w:rPr>
          <w:rFonts w:ascii="Times New Roman" w:hAnsi="Times New Roman" w:cs="Times New Roman"/>
          <w:sz w:val="26"/>
          <w:szCs w:val="26"/>
        </w:rPr>
        <w:t>đã quyết định bán</w:t>
      </w:r>
      <w:r w:rsidRPr="00441806">
        <w:rPr>
          <w:rFonts w:ascii="Times New Roman" w:hAnsi="Times New Roman" w:cs="Times New Roman"/>
          <w:sz w:val="26"/>
          <w:szCs w:val="26"/>
        </w:rPr>
        <w:t xml:space="preserve"> các công ty thương mại điện tử </w:t>
      </w:r>
      <w:r>
        <w:rPr>
          <w:rFonts w:ascii="Times New Roman" w:hAnsi="Times New Roman" w:cs="Times New Roman"/>
          <w:sz w:val="26"/>
          <w:szCs w:val="26"/>
        </w:rPr>
        <w:t>là</w:t>
      </w:r>
      <w:r w:rsidRPr="00441806">
        <w:rPr>
          <w:rFonts w:ascii="Times New Roman" w:hAnsi="Times New Roman" w:cs="Times New Roman"/>
          <w:sz w:val="26"/>
          <w:szCs w:val="26"/>
        </w:rPr>
        <w:t xml:space="preserve"> Jagged Peak và TradeGlobal khi rời khỏi thị trường </w:t>
      </w:r>
      <w:r w:rsidR="005D55B1">
        <w:rPr>
          <w:rFonts w:ascii="Times New Roman" w:hAnsi="Times New Roman" w:cs="Times New Roman"/>
          <w:sz w:val="26"/>
          <w:szCs w:val="26"/>
        </w:rPr>
        <w:t>này</w:t>
      </w:r>
      <w:r w:rsidR="00F74E5E">
        <w:rPr>
          <w:rFonts w:ascii="Times New Roman" w:hAnsi="Times New Roman" w:cs="Times New Roman"/>
          <w:sz w:val="26"/>
          <w:szCs w:val="26"/>
        </w:rPr>
        <w:t>.</w:t>
      </w:r>
      <w:proofErr w:type="gramEnd"/>
    </w:p>
    <w:p w:rsidR="00441806" w:rsidRPr="00441806" w:rsidRDefault="00441806" w:rsidP="003D6A27">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Tăng cường cạnh tranh và tăng chi phí cùng với các vụ phá sản của khách hàng trong ngành được coi </w:t>
      </w:r>
      <w:r w:rsidR="003D6A27">
        <w:rPr>
          <w:rFonts w:ascii="Times New Roman" w:hAnsi="Times New Roman" w:cs="Times New Roman"/>
          <w:sz w:val="26"/>
          <w:szCs w:val="26"/>
        </w:rPr>
        <w:t>là các nguyên nhân chính</w:t>
      </w:r>
      <w:r w:rsidRPr="00441806">
        <w:rPr>
          <w:rFonts w:ascii="Times New Roman" w:hAnsi="Times New Roman" w:cs="Times New Roman"/>
          <w:sz w:val="26"/>
          <w:szCs w:val="26"/>
        </w:rPr>
        <w:t xml:space="preserve">. Cả hai công ty đã được mua lại vào năm 2015 khi nhà điều hành bưu chính Singapore </w:t>
      </w:r>
      <w:r w:rsidR="003D6A27">
        <w:rPr>
          <w:rFonts w:ascii="Times New Roman" w:hAnsi="Times New Roman" w:cs="Times New Roman"/>
          <w:sz w:val="26"/>
          <w:szCs w:val="26"/>
        </w:rPr>
        <w:t>tham gia vào</w:t>
      </w:r>
      <w:r w:rsidRPr="00441806">
        <w:rPr>
          <w:rFonts w:ascii="Times New Roman" w:hAnsi="Times New Roman" w:cs="Times New Roman"/>
          <w:sz w:val="26"/>
          <w:szCs w:val="26"/>
        </w:rPr>
        <w:t xml:space="preserve"> thương mại điện tử, bắt đầu thực hiện chiến lược xây dựng một mạng lưới công nghệ và nền </w:t>
      </w:r>
      <w:r w:rsidRPr="00441806">
        <w:rPr>
          <w:rFonts w:ascii="Times New Roman" w:hAnsi="Times New Roman" w:cs="Times New Roman"/>
          <w:sz w:val="26"/>
          <w:szCs w:val="26"/>
        </w:rPr>
        <w:lastRenderedPageBreak/>
        <w:t>tảng logistic thương mại điện tử đầu cuố</w:t>
      </w:r>
      <w:r>
        <w:rPr>
          <w:rFonts w:ascii="Times New Roman" w:hAnsi="Times New Roman" w:cs="Times New Roman"/>
          <w:sz w:val="26"/>
          <w:szCs w:val="26"/>
        </w:rPr>
        <w:t>i.</w:t>
      </w:r>
      <w:r w:rsidR="003D6A27">
        <w:rPr>
          <w:rFonts w:ascii="Times New Roman" w:hAnsi="Times New Roman" w:cs="Times New Roman"/>
          <w:sz w:val="26"/>
          <w:szCs w:val="26"/>
        </w:rPr>
        <w:t xml:space="preserve"> </w:t>
      </w:r>
      <w:r w:rsidRPr="00441806">
        <w:rPr>
          <w:rFonts w:ascii="Times New Roman" w:hAnsi="Times New Roman" w:cs="Times New Roman"/>
          <w:sz w:val="26"/>
          <w:szCs w:val="26"/>
        </w:rPr>
        <w:t>Các khoản đầ</w:t>
      </w:r>
      <w:r w:rsidR="003D6A27">
        <w:rPr>
          <w:rFonts w:ascii="Times New Roman" w:hAnsi="Times New Roman" w:cs="Times New Roman"/>
          <w:sz w:val="26"/>
          <w:szCs w:val="26"/>
        </w:rPr>
        <w:t>u tư tại</w:t>
      </w:r>
      <w:r w:rsidRPr="00441806">
        <w:rPr>
          <w:rFonts w:ascii="Times New Roman" w:hAnsi="Times New Roman" w:cs="Times New Roman"/>
          <w:sz w:val="26"/>
          <w:szCs w:val="26"/>
        </w:rPr>
        <w:t xml:space="preserve"> Mỹ </w:t>
      </w:r>
      <w:r w:rsidR="003D6A27">
        <w:rPr>
          <w:rFonts w:ascii="Times New Roman" w:hAnsi="Times New Roman" w:cs="Times New Roman"/>
          <w:sz w:val="26"/>
          <w:szCs w:val="26"/>
        </w:rPr>
        <w:t xml:space="preserve">được giám sát bởi </w:t>
      </w:r>
      <w:r w:rsidRPr="00441806">
        <w:rPr>
          <w:rFonts w:ascii="Times New Roman" w:hAnsi="Times New Roman" w:cs="Times New Roman"/>
          <w:sz w:val="26"/>
          <w:szCs w:val="26"/>
        </w:rPr>
        <w:t>Wolfgang Baier, người đã từ chức giám đốc điề</w:t>
      </w:r>
      <w:r>
        <w:rPr>
          <w:rFonts w:ascii="Times New Roman" w:hAnsi="Times New Roman" w:cs="Times New Roman"/>
          <w:sz w:val="26"/>
          <w:szCs w:val="26"/>
        </w:rPr>
        <w:t>u hành vào tháng 12/2015.</w:t>
      </w:r>
    </w:p>
    <w:p w:rsid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SingPost cho biết thế mạnh và lợi thế cạnh tranh chiến lược của họ là ở Đông Nam Á và Châu Á Thái Bình Dương, </w:t>
      </w:r>
      <w:r w:rsidR="003D6A27">
        <w:rPr>
          <w:rFonts w:ascii="Times New Roman" w:hAnsi="Times New Roman" w:cs="Times New Roman"/>
          <w:sz w:val="26"/>
          <w:szCs w:val="26"/>
        </w:rPr>
        <w:t xml:space="preserve">nơi </w:t>
      </w:r>
      <w:r w:rsidRPr="00441806">
        <w:rPr>
          <w:rFonts w:ascii="Times New Roman" w:hAnsi="Times New Roman" w:cs="Times New Roman"/>
          <w:sz w:val="26"/>
          <w:szCs w:val="26"/>
        </w:rPr>
        <w:t xml:space="preserve">sẽ mang lại cơ hội tăng trưởng hấp dẫn và </w:t>
      </w:r>
      <w:proofErr w:type="gramStart"/>
      <w:r w:rsidRPr="00441806">
        <w:rPr>
          <w:rFonts w:ascii="Times New Roman" w:hAnsi="Times New Roman" w:cs="Times New Roman"/>
          <w:sz w:val="26"/>
          <w:szCs w:val="26"/>
        </w:rPr>
        <w:t>thu</w:t>
      </w:r>
      <w:proofErr w:type="gramEnd"/>
      <w:r w:rsidRPr="00441806">
        <w:rPr>
          <w:rFonts w:ascii="Times New Roman" w:hAnsi="Times New Roman" w:cs="Times New Roman"/>
          <w:sz w:val="26"/>
          <w:szCs w:val="26"/>
        </w:rPr>
        <w:t xml:space="preserve"> nhập từ đầu tư tốt hơn.</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Nhìn chung, Tập đoàn đã chứng kiến ​​khối lượng thương mại điện tử xuyên biên giới cao hơn thúc đẩy tăng doanh thu, tăng 2</w:t>
      </w:r>
      <w:proofErr w:type="gramStart"/>
      <w:r w:rsidRPr="00441806">
        <w:rPr>
          <w:rFonts w:ascii="Times New Roman" w:hAnsi="Times New Roman" w:cs="Times New Roman"/>
          <w:sz w:val="26"/>
          <w:szCs w:val="26"/>
        </w:rPr>
        <w:t>,9</w:t>
      </w:r>
      <w:proofErr w:type="gramEnd"/>
      <w:r w:rsidRPr="00441806">
        <w:rPr>
          <w:rFonts w:ascii="Times New Roman" w:hAnsi="Times New Roman" w:cs="Times New Roman"/>
          <w:sz w:val="26"/>
          <w:szCs w:val="26"/>
        </w:rPr>
        <w:t>% lên 1,56 tỷ SGD (1,14 tỷ USD) cho cả năm kết thú</w:t>
      </w:r>
      <w:r>
        <w:rPr>
          <w:rFonts w:ascii="Times New Roman" w:hAnsi="Times New Roman" w:cs="Times New Roman"/>
          <w:sz w:val="26"/>
          <w:szCs w:val="26"/>
        </w:rPr>
        <w:t>c vào ngày 31 tháng 3 năm 2019.</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Lợi nhuận ròng </w:t>
      </w:r>
      <w:r w:rsidR="003D6A27">
        <w:rPr>
          <w:rFonts w:ascii="Times New Roman" w:hAnsi="Times New Roman" w:cs="Times New Roman"/>
          <w:sz w:val="26"/>
          <w:szCs w:val="26"/>
        </w:rPr>
        <w:t>từ vốn chủ sở hữu</w:t>
      </w:r>
      <w:r w:rsidRPr="00441806">
        <w:rPr>
          <w:rFonts w:ascii="Times New Roman" w:hAnsi="Times New Roman" w:cs="Times New Roman"/>
          <w:sz w:val="26"/>
          <w:szCs w:val="26"/>
        </w:rPr>
        <w:t xml:space="preserve"> giảm 86% xuống còn 19 triệu SGD, chủ yếu là do các khoản phí tổn thất một lầ</w:t>
      </w:r>
      <w:r w:rsidR="003D6A27">
        <w:rPr>
          <w:rFonts w:ascii="Times New Roman" w:hAnsi="Times New Roman" w:cs="Times New Roman"/>
          <w:sz w:val="26"/>
          <w:szCs w:val="26"/>
        </w:rPr>
        <w:t xml:space="preserve">n tại </w:t>
      </w:r>
      <w:r w:rsidRPr="00441806">
        <w:rPr>
          <w:rFonts w:ascii="Times New Roman" w:hAnsi="Times New Roman" w:cs="Times New Roman"/>
          <w:sz w:val="26"/>
          <w:szCs w:val="26"/>
        </w:rPr>
        <w:t xml:space="preserve">các doanh nghiệp </w:t>
      </w:r>
      <w:r w:rsidR="003D6A27">
        <w:rPr>
          <w:rFonts w:ascii="Times New Roman" w:hAnsi="Times New Roman" w:cs="Times New Roman"/>
          <w:sz w:val="26"/>
          <w:szCs w:val="26"/>
        </w:rPr>
        <w:t xml:space="preserve">ở </w:t>
      </w:r>
      <w:r w:rsidRPr="00441806">
        <w:rPr>
          <w:rFonts w:ascii="Times New Roman" w:hAnsi="Times New Roman" w:cs="Times New Roman"/>
          <w:sz w:val="26"/>
          <w:szCs w:val="26"/>
        </w:rPr>
        <w:t>Mỹ. Lợi nhuận ròng dưới mức giảm 5</w:t>
      </w:r>
      <w:proofErr w:type="gramStart"/>
      <w:r w:rsidRPr="00441806">
        <w:rPr>
          <w:rFonts w:ascii="Times New Roman" w:hAnsi="Times New Roman" w:cs="Times New Roman"/>
          <w:sz w:val="26"/>
          <w:szCs w:val="26"/>
        </w:rPr>
        <w:t>,8</w:t>
      </w:r>
      <w:proofErr w:type="gramEnd"/>
      <w:r w:rsidRPr="00441806">
        <w:rPr>
          <w:rFonts w:ascii="Times New Roman" w:hAnsi="Times New Roman" w:cs="Times New Roman"/>
          <w:sz w:val="26"/>
          <w:szCs w:val="26"/>
        </w:rPr>
        <w:t xml:space="preserve">% xuống còn 100,1 triệu SGD, ngoại trừ tác động của các mặt hàng đặc biệt và các mặt hàng một lần khác. Nếu loại trừ các doanh nghiệp </w:t>
      </w:r>
      <w:r w:rsidR="003D6A27">
        <w:rPr>
          <w:rFonts w:ascii="Times New Roman" w:hAnsi="Times New Roman" w:cs="Times New Roman"/>
          <w:sz w:val="26"/>
          <w:szCs w:val="26"/>
        </w:rPr>
        <w:t xml:space="preserve">tại </w:t>
      </w:r>
      <w:r w:rsidRPr="00441806">
        <w:rPr>
          <w:rFonts w:ascii="Times New Roman" w:hAnsi="Times New Roman" w:cs="Times New Roman"/>
          <w:sz w:val="26"/>
          <w:szCs w:val="26"/>
        </w:rPr>
        <w:t xml:space="preserve">Mỹ, lợi nhuận ròng cơ bản </w:t>
      </w:r>
      <w:r w:rsidR="003D6A27">
        <w:rPr>
          <w:rFonts w:ascii="Times New Roman" w:hAnsi="Times New Roman" w:cs="Times New Roman"/>
          <w:sz w:val="26"/>
          <w:szCs w:val="26"/>
        </w:rPr>
        <w:t>vẫn tăng</w:t>
      </w:r>
      <w:r w:rsidRPr="00441806">
        <w:rPr>
          <w:rFonts w:ascii="Times New Roman" w:hAnsi="Times New Roman" w:cs="Times New Roman"/>
          <w:sz w:val="26"/>
          <w:szCs w:val="26"/>
        </w:rPr>
        <w:t xml:space="preserve"> hơn 15</w:t>
      </w:r>
      <w:proofErr w:type="gramStart"/>
      <w:r w:rsidRPr="00441806">
        <w:rPr>
          <w:rFonts w:ascii="Times New Roman" w:hAnsi="Times New Roman" w:cs="Times New Roman"/>
          <w:sz w:val="26"/>
          <w:szCs w:val="26"/>
        </w:rPr>
        <w:t>,8</w:t>
      </w:r>
      <w:proofErr w:type="gramEnd"/>
      <w:r w:rsidRPr="00441806">
        <w:rPr>
          <w:rFonts w:ascii="Times New Roman" w:hAnsi="Times New Roman" w:cs="Times New Roman"/>
          <w:sz w:val="26"/>
          <w:szCs w:val="26"/>
        </w:rPr>
        <w:t xml:space="preserve">% trong </w:t>
      </w:r>
      <w:r w:rsidR="003D6A27">
        <w:rPr>
          <w:rFonts w:ascii="Times New Roman" w:hAnsi="Times New Roman" w:cs="Times New Roman"/>
          <w:sz w:val="26"/>
          <w:szCs w:val="26"/>
        </w:rPr>
        <w:t>năm 2018</w:t>
      </w:r>
      <w:r>
        <w:rPr>
          <w:rFonts w:ascii="Times New Roman" w:hAnsi="Times New Roman" w:cs="Times New Roman"/>
          <w:sz w:val="26"/>
          <w:szCs w:val="26"/>
        </w:rPr>
        <w:t>.</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Phân khúc Bưu chính và Bưu kiện của Tập đoàn đã chứng kiến ​​doanh thu tăng 4</w:t>
      </w:r>
      <w:proofErr w:type="gramStart"/>
      <w:r w:rsidRPr="00441806">
        <w:rPr>
          <w:rFonts w:ascii="Times New Roman" w:hAnsi="Times New Roman" w:cs="Times New Roman"/>
          <w:sz w:val="26"/>
          <w:szCs w:val="26"/>
        </w:rPr>
        <w:t>,1</w:t>
      </w:r>
      <w:proofErr w:type="gramEnd"/>
      <w:r w:rsidRPr="00441806">
        <w:rPr>
          <w:rFonts w:ascii="Times New Roman" w:hAnsi="Times New Roman" w:cs="Times New Roman"/>
          <w:sz w:val="26"/>
          <w:szCs w:val="26"/>
        </w:rPr>
        <w:t>% trong năm</w:t>
      </w:r>
      <w:r w:rsidR="003D6A27">
        <w:rPr>
          <w:rFonts w:ascii="Times New Roman" w:hAnsi="Times New Roman" w:cs="Times New Roman"/>
          <w:sz w:val="26"/>
          <w:szCs w:val="26"/>
        </w:rPr>
        <w:t xml:space="preserve"> 2018</w:t>
      </w:r>
      <w:r w:rsidRPr="00441806">
        <w:rPr>
          <w:rFonts w:ascii="Times New Roman" w:hAnsi="Times New Roman" w:cs="Times New Roman"/>
          <w:sz w:val="26"/>
          <w:szCs w:val="26"/>
        </w:rPr>
        <w:t>, nhờ vào sự tăng trưởng doanh thu thư quốc tế mạnh mẽ với khối lượng giao hàng liên quan đến Thương mại điện tử xuyên biên giớ</w:t>
      </w:r>
      <w:r>
        <w:rPr>
          <w:rFonts w:ascii="Times New Roman" w:hAnsi="Times New Roman" w:cs="Times New Roman"/>
          <w:sz w:val="26"/>
          <w:szCs w:val="26"/>
        </w:rPr>
        <w:t>i cao hơn.</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Mảng Logistics kết thúc năm với mức giảm doanh thu nhẹ 0</w:t>
      </w:r>
      <w:proofErr w:type="gramStart"/>
      <w:r w:rsidRPr="00441806">
        <w:rPr>
          <w:rFonts w:ascii="Times New Roman" w:hAnsi="Times New Roman" w:cs="Times New Roman"/>
          <w:sz w:val="26"/>
          <w:szCs w:val="26"/>
        </w:rPr>
        <w:t>,3</w:t>
      </w:r>
      <w:proofErr w:type="gramEnd"/>
      <w:r w:rsidRPr="00441806">
        <w:rPr>
          <w:rFonts w:ascii="Times New Roman" w:hAnsi="Times New Roman" w:cs="Times New Roman"/>
          <w:sz w:val="26"/>
          <w:szCs w:val="26"/>
        </w:rPr>
        <w:t xml:space="preserve">%. Doanh nghiệp giao nhận vận tải hàng hóa của Tập đoàn đã ghi nhận doanh </w:t>
      </w:r>
      <w:proofErr w:type="gramStart"/>
      <w:r w:rsidRPr="00441806">
        <w:rPr>
          <w:rFonts w:ascii="Times New Roman" w:hAnsi="Times New Roman" w:cs="Times New Roman"/>
          <w:sz w:val="26"/>
          <w:szCs w:val="26"/>
        </w:rPr>
        <w:t>thu</w:t>
      </w:r>
      <w:proofErr w:type="gramEnd"/>
      <w:r w:rsidRPr="00441806">
        <w:rPr>
          <w:rFonts w:ascii="Times New Roman" w:hAnsi="Times New Roman" w:cs="Times New Roman"/>
          <w:sz w:val="26"/>
          <w:szCs w:val="26"/>
        </w:rPr>
        <w:t xml:space="preserve"> cao hơn do giá cước tăng, nhưng mức tăng </w:t>
      </w:r>
      <w:r w:rsidR="003D6A27">
        <w:rPr>
          <w:rFonts w:ascii="Times New Roman" w:hAnsi="Times New Roman" w:cs="Times New Roman"/>
          <w:sz w:val="26"/>
          <w:szCs w:val="26"/>
        </w:rPr>
        <w:t>không</w:t>
      </w:r>
      <w:r w:rsidRPr="00441806">
        <w:rPr>
          <w:rFonts w:ascii="Times New Roman" w:hAnsi="Times New Roman" w:cs="Times New Roman"/>
          <w:sz w:val="26"/>
          <w:szCs w:val="26"/>
        </w:rPr>
        <w:t xml:space="preserve"> bù đắp </w:t>
      </w:r>
      <w:r w:rsidR="003D6A27">
        <w:rPr>
          <w:rFonts w:ascii="Times New Roman" w:hAnsi="Times New Roman" w:cs="Times New Roman"/>
          <w:sz w:val="26"/>
          <w:szCs w:val="26"/>
        </w:rPr>
        <w:t xml:space="preserve">được </w:t>
      </w:r>
      <w:r w:rsidRPr="00441806">
        <w:rPr>
          <w:rFonts w:ascii="Times New Roman" w:hAnsi="Times New Roman" w:cs="Times New Roman"/>
          <w:sz w:val="26"/>
          <w:szCs w:val="26"/>
        </w:rPr>
        <w:t xml:space="preserve">sự sụt giảm doanh thu </w:t>
      </w:r>
      <w:r w:rsidR="003D6A27">
        <w:rPr>
          <w:rFonts w:ascii="Times New Roman" w:hAnsi="Times New Roman" w:cs="Times New Roman"/>
          <w:sz w:val="26"/>
          <w:szCs w:val="26"/>
        </w:rPr>
        <w:t>do các hợp đồng</w:t>
      </w:r>
      <w:r w:rsidRPr="00441806">
        <w:rPr>
          <w:rFonts w:ascii="Times New Roman" w:hAnsi="Times New Roman" w:cs="Times New Roman"/>
          <w:sz w:val="26"/>
          <w:szCs w:val="26"/>
        </w:rPr>
        <w:t xml:space="preserve"> bất lợ</w:t>
      </w:r>
      <w:r w:rsidR="003D6A27">
        <w:rPr>
          <w:rFonts w:ascii="Times New Roman" w:hAnsi="Times New Roman" w:cs="Times New Roman"/>
          <w:sz w:val="26"/>
          <w:szCs w:val="26"/>
        </w:rPr>
        <w:t>i của Quantium Solutions.</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Pr="00441806">
        <w:rPr>
          <w:rFonts w:ascii="Times New Roman" w:hAnsi="Times New Roman" w:cs="Times New Roman"/>
          <w:sz w:val="26"/>
          <w:szCs w:val="26"/>
        </w:rPr>
        <w:t>hân khúc Logistics đã thu hẹp 76</w:t>
      </w:r>
      <w:proofErr w:type="gramStart"/>
      <w:r w:rsidRPr="00441806">
        <w:rPr>
          <w:rFonts w:ascii="Times New Roman" w:hAnsi="Times New Roman" w:cs="Times New Roman"/>
          <w:sz w:val="26"/>
          <w:szCs w:val="26"/>
        </w:rPr>
        <w:t>,2</w:t>
      </w:r>
      <w:proofErr w:type="gramEnd"/>
      <w:r w:rsidRPr="00441806">
        <w:rPr>
          <w:rFonts w:ascii="Times New Roman" w:hAnsi="Times New Roman" w:cs="Times New Roman"/>
          <w:sz w:val="26"/>
          <w:szCs w:val="26"/>
        </w:rPr>
        <w:t>%, phần lớn là do tổn thất tạ</w:t>
      </w:r>
      <w:r w:rsidR="003D6A27">
        <w:rPr>
          <w:rFonts w:ascii="Times New Roman" w:hAnsi="Times New Roman" w:cs="Times New Roman"/>
          <w:sz w:val="26"/>
          <w:szCs w:val="26"/>
        </w:rPr>
        <w:t>i Quantium Solutions</w:t>
      </w:r>
      <w:r w:rsidRPr="00441806">
        <w:rPr>
          <w:rFonts w:ascii="Times New Roman" w:hAnsi="Times New Roman" w:cs="Times New Roman"/>
          <w:sz w:val="26"/>
          <w:szCs w:val="26"/>
        </w:rPr>
        <w:t xml:space="preserve">. </w:t>
      </w:r>
      <w:proofErr w:type="gramStart"/>
      <w:r w:rsidR="003D6A27">
        <w:rPr>
          <w:rFonts w:ascii="Times New Roman" w:hAnsi="Times New Roman" w:cs="Times New Roman"/>
          <w:sz w:val="26"/>
          <w:szCs w:val="26"/>
        </w:rPr>
        <w:t>Công ty</w:t>
      </w:r>
      <w:r w:rsidRPr="00441806">
        <w:rPr>
          <w:rFonts w:ascii="Times New Roman" w:hAnsi="Times New Roman" w:cs="Times New Roman"/>
          <w:sz w:val="26"/>
          <w:szCs w:val="26"/>
        </w:rPr>
        <w:t xml:space="preserve"> thương mại điện tử Trung Quốc Alibaba nắm giữ 34% cổ phần củ</w:t>
      </w:r>
      <w:r w:rsidR="003D6A27">
        <w:rPr>
          <w:rFonts w:ascii="Times New Roman" w:hAnsi="Times New Roman" w:cs="Times New Roman"/>
          <w:sz w:val="26"/>
          <w:szCs w:val="26"/>
        </w:rPr>
        <w:t>a Quantium,</w:t>
      </w:r>
      <w:r w:rsidRPr="00441806">
        <w:rPr>
          <w:rFonts w:ascii="Times New Roman" w:hAnsi="Times New Roman" w:cs="Times New Roman"/>
          <w:sz w:val="26"/>
          <w:szCs w:val="26"/>
        </w:rPr>
        <w:t xml:space="preserve"> SingPost nắm phần còn lại.</w:t>
      </w:r>
      <w:proofErr w:type="gramEnd"/>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10108629"/>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9236F3" w:rsidRPr="009236F3" w:rsidRDefault="006A2709" w:rsidP="009236F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10108630"/>
      <w:r w:rsidRPr="006A0A2F">
        <w:rPr>
          <w:rFonts w:ascii="Times New Roman" w:hAnsi="Times New Roman" w:cs="Times New Roman"/>
          <w:b/>
          <w:i/>
          <w:sz w:val="26"/>
          <w:szCs w:val="26"/>
        </w:rPr>
        <w:t>Tình hình chung</w:t>
      </w:r>
      <w:bookmarkEnd w:id="11"/>
    </w:p>
    <w:p w:rsidR="009A3474" w:rsidRDefault="00441806" w:rsidP="00FA5487">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441806">
        <w:rPr>
          <w:rFonts w:ascii="Times New Roman" w:hAnsi="Times New Roman" w:cs="Times New Roman"/>
          <w:sz w:val="26"/>
          <w:szCs w:val="26"/>
        </w:rPr>
        <w:t>Bộ Giao thông</w:t>
      </w:r>
      <w:r w:rsidR="00427431">
        <w:rPr>
          <w:rFonts w:ascii="Times New Roman" w:hAnsi="Times New Roman" w:cs="Times New Roman"/>
          <w:sz w:val="26"/>
          <w:szCs w:val="26"/>
        </w:rPr>
        <w:t xml:space="preserve"> Malaysia</w:t>
      </w:r>
      <w:r w:rsidRPr="00441806">
        <w:rPr>
          <w:rFonts w:ascii="Times New Roman" w:hAnsi="Times New Roman" w:cs="Times New Roman"/>
          <w:sz w:val="26"/>
          <w:szCs w:val="26"/>
        </w:rPr>
        <w:t xml:space="preserve"> đang tìm cách nới lỏng các hạn chế đối với giấy phép (AP) đã được phê duyệt đối với việc nhập khẩu một số hàng hóa trong nỗ lực biến Malaysia thành một trung tâm trung chuyển cho khu vự</w:t>
      </w:r>
      <w:r w:rsidR="00427431">
        <w:rPr>
          <w:rFonts w:ascii="Times New Roman" w:hAnsi="Times New Roman" w:cs="Times New Roman"/>
          <w:sz w:val="26"/>
          <w:szCs w:val="26"/>
        </w:rPr>
        <w:t>c ASEAN</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00427431">
        <w:rPr>
          <w:rFonts w:ascii="Times New Roman" w:hAnsi="Times New Roman" w:cs="Times New Roman"/>
          <w:sz w:val="26"/>
          <w:szCs w:val="26"/>
        </w:rPr>
        <w:t>Malaysia có nhiều lợi thế để trở thành một trung tâm logistics</w:t>
      </w:r>
      <w:r w:rsidRPr="00441806">
        <w:rPr>
          <w:rFonts w:ascii="Times New Roman" w:hAnsi="Times New Roman" w:cs="Times New Roman"/>
          <w:sz w:val="26"/>
          <w:szCs w:val="26"/>
        </w:rPr>
        <w:t xml:space="preserve">, nhưng bằng cách nới lỏng các hạn chế, </w:t>
      </w:r>
      <w:r>
        <w:rPr>
          <w:rFonts w:ascii="Times New Roman" w:hAnsi="Times New Roman" w:cs="Times New Roman"/>
          <w:sz w:val="26"/>
          <w:szCs w:val="26"/>
        </w:rPr>
        <w:t>nước này</w:t>
      </w:r>
      <w:r w:rsidRPr="00441806">
        <w:rPr>
          <w:rFonts w:ascii="Times New Roman" w:hAnsi="Times New Roman" w:cs="Times New Roman"/>
          <w:sz w:val="26"/>
          <w:szCs w:val="26"/>
        </w:rPr>
        <w:t xml:space="preserve"> </w:t>
      </w:r>
      <w:r>
        <w:rPr>
          <w:rFonts w:ascii="Times New Roman" w:hAnsi="Times New Roman" w:cs="Times New Roman"/>
          <w:sz w:val="26"/>
          <w:szCs w:val="26"/>
        </w:rPr>
        <w:t xml:space="preserve">có thể cung cấp nhiều </w:t>
      </w:r>
      <w:r w:rsidRPr="00441806">
        <w:rPr>
          <w:rFonts w:ascii="Times New Roman" w:hAnsi="Times New Roman" w:cs="Times New Roman"/>
          <w:sz w:val="26"/>
          <w:szCs w:val="26"/>
        </w:rPr>
        <w:t>lựa chọn trung chuyển hơn nữa</w:t>
      </w:r>
      <w:r>
        <w:rPr>
          <w:rFonts w:ascii="Times New Roman" w:hAnsi="Times New Roman" w:cs="Times New Roman"/>
          <w:sz w:val="26"/>
          <w:szCs w:val="26"/>
        </w:rPr>
        <w:t>.</w:t>
      </w:r>
      <w:proofErr w:type="gramEnd"/>
    </w:p>
    <w:p w:rsidR="00441806" w:rsidRDefault="00441806" w:rsidP="00FA548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Ngày 21/5/2019, S</w:t>
      </w:r>
      <w:r w:rsidRPr="00441806">
        <w:rPr>
          <w:rFonts w:ascii="Times New Roman" w:hAnsi="Times New Roman" w:cs="Times New Roman"/>
          <w:sz w:val="26"/>
          <w:szCs w:val="26"/>
        </w:rPr>
        <w:t>ingapore</w:t>
      </w:r>
      <w:r>
        <w:rPr>
          <w:rFonts w:ascii="Times New Roman" w:hAnsi="Times New Roman" w:cs="Times New Roman"/>
          <w:sz w:val="26"/>
          <w:szCs w:val="26"/>
        </w:rPr>
        <w:t xml:space="preserve"> và Malaysia đã nhất trí lùi</w:t>
      </w:r>
      <w:r w:rsidRPr="00441806">
        <w:rPr>
          <w:rFonts w:ascii="Times New Roman" w:hAnsi="Times New Roman" w:cs="Times New Roman"/>
          <w:sz w:val="26"/>
          <w:szCs w:val="26"/>
        </w:rPr>
        <w:t xml:space="preserve"> việc xây dựng </w:t>
      </w:r>
      <w:r w:rsidR="00427431">
        <w:rPr>
          <w:rFonts w:ascii="Times New Roman" w:hAnsi="Times New Roman" w:cs="Times New Roman"/>
          <w:sz w:val="26"/>
          <w:szCs w:val="26"/>
        </w:rPr>
        <w:t>H</w:t>
      </w:r>
      <w:r w:rsidR="00427431" w:rsidRPr="00441806">
        <w:rPr>
          <w:rFonts w:ascii="Times New Roman" w:hAnsi="Times New Roman" w:cs="Times New Roman"/>
          <w:sz w:val="26"/>
          <w:szCs w:val="26"/>
        </w:rPr>
        <w:t xml:space="preserve">ệ thống </w:t>
      </w:r>
      <w:r w:rsidRPr="00441806">
        <w:rPr>
          <w:rFonts w:ascii="Times New Roman" w:hAnsi="Times New Roman" w:cs="Times New Roman"/>
          <w:sz w:val="26"/>
          <w:szCs w:val="26"/>
        </w:rPr>
        <w:t>Liên kết giao thông nhanh Johor Bahru-Singapore (RTS</w:t>
      </w:r>
      <w:r w:rsidR="00427431">
        <w:rPr>
          <w:rFonts w:ascii="Times New Roman" w:hAnsi="Times New Roman" w:cs="Times New Roman"/>
          <w:sz w:val="26"/>
          <w:szCs w:val="26"/>
        </w:rPr>
        <w:t xml:space="preserve"> Link</w:t>
      </w:r>
      <w:r w:rsidRPr="00441806">
        <w:rPr>
          <w:rFonts w:ascii="Times New Roman" w:hAnsi="Times New Roman" w:cs="Times New Roman"/>
          <w:sz w:val="26"/>
          <w:szCs w:val="26"/>
        </w:rPr>
        <w:t xml:space="preserve">) cho đến ngày 30 tháng 9 </w:t>
      </w:r>
      <w:proofErr w:type="gramStart"/>
      <w:r w:rsidRPr="00441806">
        <w:rPr>
          <w:rFonts w:ascii="Times New Roman" w:hAnsi="Times New Roman" w:cs="Times New Roman"/>
          <w:sz w:val="26"/>
          <w:szCs w:val="26"/>
        </w:rPr>
        <w:t>theo</w:t>
      </w:r>
      <w:proofErr w:type="gramEnd"/>
      <w:r w:rsidRPr="00441806">
        <w:rPr>
          <w:rFonts w:ascii="Times New Roman" w:hAnsi="Times New Roman" w:cs="Times New Roman"/>
          <w:sz w:val="26"/>
          <w:szCs w:val="26"/>
        </w:rPr>
        <w:t xml:space="preserve"> yêu cầu của Malaysia. </w:t>
      </w:r>
      <w:proofErr w:type="gramStart"/>
      <w:r w:rsidRPr="00441806">
        <w:rPr>
          <w:rFonts w:ascii="Times New Roman" w:hAnsi="Times New Roman" w:cs="Times New Roman"/>
          <w:sz w:val="26"/>
          <w:szCs w:val="26"/>
        </w:rPr>
        <w:t>Malaysia cũng sẽ bồi hoàn cho Singapore cho các chi phí phát sinh - khoả</w:t>
      </w:r>
      <w:r>
        <w:rPr>
          <w:rFonts w:ascii="Times New Roman" w:hAnsi="Times New Roman" w:cs="Times New Roman"/>
          <w:sz w:val="26"/>
          <w:szCs w:val="26"/>
        </w:rPr>
        <w:t>ng 600.000 đô la Singapore.</w:t>
      </w:r>
      <w:proofErr w:type="gramEnd"/>
      <w:r>
        <w:rPr>
          <w:rFonts w:ascii="Times New Roman" w:hAnsi="Times New Roman" w:cs="Times New Roman"/>
          <w:sz w:val="26"/>
          <w:szCs w:val="26"/>
        </w:rPr>
        <w:t xml:space="preserve"> </w:t>
      </w:r>
      <w:proofErr w:type="gramStart"/>
      <w:r w:rsidRPr="00441806">
        <w:rPr>
          <w:rFonts w:ascii="Times New Roman" w:hAnsi="Times New Roman" w:cs="Times New Roman"/>
          <w:sz w:val="26"/>
          <w:szCs w:val="26"/>
        </w:rPr>
        <w:t>Trong thời gian đình chỉ, Malaysia sẽ quyết định xem họ có ý định tiến hành dự án RTS Link hay không.</w:t>
      </w:r>
      <w:proofErr w:type="gramEnd"/>
      <w:r w:rsidRPr="00441806">
        <w:rPr>
          <w:rFonts w:ascii="Times New Roman" w:hAnsi="Times New Roman" w:cs="Times New Roman"/>
          <w:sz w:val="26"/>
          <w:szCs w:val="26"/>
        </w:rPr>
        <w:t xml:space="preserve"> Malaysia cũng có thể đề xuất thay đổi phạm </w:t>
      </w:r>
      <w:proofErr w:type="gramStart"/>
      <w:r w:rsidRPr="00441806">
        <w:rPr>
          <w:rFonts w:ascii="Times New Roman" w:hAnsi="Times New Roman" w:cs="Times New Roman"/>
          <w:sz w:val="26"/>
          <w:szCs w:val="26"/>
        </w:rPr>
        <w:t>vi</w:t>
      </w:r>
      <w:proofErr w:type="gramEnd"/>
      <w:r w:rsidRPr="00441806">
        <w:rPr>
          <w:rFonts w:ascii="Times New Roman" w:hAnsi="Times New Roman" w:cs="Times New Roman"/>
          <w:sz w:val="26"/>
          <w:szCs w:val="26"/>
        </w:rPr>
        <w:t xml:space="preserve"> dự án và Singapore sẽ đưa ra bất kỳ thay đổi nào như vậy</w:t>
      </w:r>
      <w:r>
        <w:rPr>
          <w:rFonts w:ascii="Times New Roman" w:hAnsi="Times New Roman" w:cs="Times New Roman"/>
          <w:sz w:val="26"/>
          <w:szCs w:val="26"/>
        </w:rPr>
        <w:t>.</w:t>
      </w:r>
    </w:p>
    <w:p w:rsid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Liên kết RTS, kết nối Bukit Chagar ở Johor Bahru </w:t>
      </w:r>
      <w:r w:rsidR="00427431">
        <w:rPr>
          <w:rFonts w:ascii="Times New Roman" w:hAnsi="Times New Roman" w:cs="Times New Roman"/>
          <w:sz w:val="26"/>
          <w:szCs w:val="26"/>
        </w:rPr>
        <w:t xml:space="preserve">của Malaysia </w:t>
      </w:r>
      <w:r w:rsidRPr="00441806">
        <w:rPr>
          <w:rFonts w:ascii="Times New Roman" w:hAnsi="Times New Roman" w:cs="Times New Roman"/>
          <w:sz w:val="26"/>
          <w:szCs w:val="26"/>
        </w:rPr>
        <w:t>với Woodlands ở Singapore, dự kiến sẽ vận chuyể</w:t>
      </w:r>
      <w:r w:rsidR="00427431">
        <w:rPr>
          <w:rFonts w:ascii="Times New Roman" w:hAnsi="Times New Roman" w:cs="Times New Roman"/>
          <w:sz w:val="26"/>
          <w:szCs w:val="26"/>
        </w:rPr>
        <w:t xml:space="preserve">n </w:t>
      </w:r>
      <w:r w:rsidRPr="00441806">
        <w:rPr>
          <w:rFonts w:ascii="Times New Roman" w:hAnsi="Times New Roman" w:cs="Times New Roman"/>
          <w:sz w:val="26"/>
          <w:szCs w:val="26"/>
        </w:rPr>
        <w:t>10.000 hành khách mỗi giờ mỗi chiề</w:t>
      </w:r>
      <w:r>
        <w:rPr>
          <w:rFonts w:ascii="Times New Roman" w:hAnsi="Times New Roman" w:cs="Times New Roman"/>
          <w:sz w:val="26"/>
          <w:szCs w:val="26"/>
        </w:rPr>
        <w:t xml:space="preserve">u. </w:t>
      </w:r>
      <w:r w:rsidRPr="00441806">
        <w:rPr>
          <w:rFonts w:ascii="Times New Roman" w:hAnsi="Times New Roman" w:cs="Times New Roman"/>
          <w:sz w:val="26"/>
          <w:szCs w:val="26"/>
        </w:rPr>
        <w:t xml:space="preserve">Dự </w:t>
      </w:r>
      <w:proofErr w:type="gramStart"/>
      <w:r w:rsidRPr="00441806">
        <w:rPr>
          <w:rFonts w:ascii="Times New Roman" w:hAnsi="Times New Roman" w:cs="Times New Roman"/>
          <w:sz w:val="26"/>
          <w:szCs w:val="26"/>
        </w:rPr>
        <w:t>án</w:t>
      </w:r>
      <w:proofErr w:type="gramEnd"/>
      <w:r w:rsidRPr="00441806">
        <w:rPr>
          <w:rFonts w:ascii="Times New Roman" w:hAnsi="Times New Roman" w:cs="Times New Roman"/>
          <w:sz w:val="26"/>
          <w:szCs w:val="26"/>
        </w:rPr>
        <w:t xml:space="preserve"> </w:t>
      </w:r>
      <w:r>
        <w:rPr>
          <w:rFonts w:ascii="Times New Roman" w:hAnsi="Times New Roman" w:cs="Times New Roman"/>
          <w:sz w:val="26"/>
          <w:szCs w:val="26"/>
        </w:rPr>
        <w:t>đặt mục tiêu</w:t>
      </w:r>
      <w:r w:rsidRPr="00441806">
        <w:rPr>
          <w:rFonts w:ascii="Times New Roman" w:hAnsi="Times New Roman" w:cs="Times New Roman"/>
          <w:sz w:val="26"/>
          <w:szCs w:val="26"/>
        </w:rPr>
        <w:t xml:space="preserve"> hoàn thành vào năm 2024, nhưng hiện đang chậm tiến độ</w:t>
      </w:r>
      <w:r>
        <w:rPr>
          <w:rFonts w:ascii="Times New Roman" w:hAnsi="Times New Roman" w:cs="Times New Roman"/>
          <w:sz w:val="26"/>
          <w:szCs w:val="26"/>
        </w:rPr>
        <w:t xml:space="preserve"> do </w:t>
      </w:r>
      <w:r w:rsidRPr="00441806">
        <w:rPr>
          <w:rFonts w:ascii="Times New Roman" w:hAnsi="Times New Roman" w:cs="Times New Roman"/>
          <w:sz w:val="26"/>
          <w:szCs w:val="26"/>
        </w:rPr>
        <w:t>Malaysia liên tục trì hoãn xác nhận của đối tác liên doanh.</w:t>
      </w: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10108631"/>
      <w:r>
        <w:rPr>
          <w:rFonts w:ascii="Times New Roman" w:hAnsi="Times New Roman" w:cs="Times New Roman"/>
          <w:b/>
          <w:i/>
          <w:sz w:val="26"/>
          <w:szCs w:val="26"/>
        </w:rPr>
        <w:t>Vận tải, cảng biển</w:t>
      </w:r>
      <w:bookmarkEnd w:id="12"/>
    </w:p>
    <w:p w:rsidR="00747215" w:rsidRPr="009236F3" w:rsidRDefault="005F2D19" w:rsidP="009236F3">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9E1746" w:rsidRPr="009E1746"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Malaysia Airlines</w:t>
      </w:r>
      <w:r>
        <w:rPr>
          <w:rFonts w:ascii="Times New Roman" w:hAnsi="Times New Roman" w:cs="Times New Roman"/>
          <w:sz w:val="26"/>
          <w:szCs w:val="26"/>
        </w:rPr>
        <w:t xml:space="preserve"> (MAB)</w:t>
      </w:r>
      <w:r w:rsidRPr="009E1746">
        <w:rPr>
          <w:rFonts w:ascii="Times New Roman" w:hAnsi="Times New Roman" w:cs="Times New Roman"/>
          <w:sz w:val="26"/>
          <w:szCs w:val="26"/>
        </w:rPr>
        <w:t xml:space="preserve"> và Japan Airlines</w:t>
      </w:r>
      <w:r>
        <w:rPr>
          <w:rFonts w:ascii="Times New Roman" w:hAnsi="Times New Roman" w:cs="Times New Roman"/>
          <w:sz w:val="26"/>
          <w:szCs w:val="26"/>
        </w:rPr>
        <w:t xml:space="preserve"> (JAL)</w:t>
      </w:r>
      <w:r w:rsidRPr="009E1746">
        <w:rPr>
          <w:rFonts w:ascii="Times New Roman" w:hAnsi="Times New Roman" w:cs="Times New Roman"/>
          <w:sz w:val="26"/>
          <w:szCs w:val="26"/>
        </w:rPr>
        <w:t xml:space="preserve"> </w:t>
      </w:r>
      <w:r>
        <w:rPr>
          <w:rFonts w:ascii="Times New Roman" w:hAnsi="Times New Roman" w:cs="Times New Roman"/>
          <w:sz w:val="26"/>
          <w:szCs w:val="26"/>
        </w:rPr>
        <w:t>hợp tác kinh</w:t>
      </w:r>
      <w:r w:rsidR="004005C1">
        <w:rPr>
          <w:rFonts w:ascii="Times New Roman" w:hAnsi="Times New Roman" w:cs="Times New Roman"/>
          <w:sz w:val="26"/>
          <w:szCs w:val="26"/>
        </w:rPr>
        <w:t xml:space="preserve"> doanh</w:t>
      </w:r>
      <w:r>
        <w:rPr>
          <w:rFonts w:ascii="Times New Roman" w:hAnsi="Times New Roman" w:cs="Times New Roman"/>
          <w:sz w:val="26"/>
          <w:szCs w:val="26"/>
        </w:rPr>
        <w:t xml:space="preserve"> </w:t>
      </w:r>
      <w:r w:rsidRPr="009E1746">
        <w:rPr>
          <w:rFonts w:ascii="Times New Roman" w:hAnsi="Times New Roman" w:cs="Times New Roman"/>
          <w:sz w:val="26"/>
          <w:szCs w:val="26"/>
        </w:rPr>
        <w:t>các chuyến bay giữa Malaysia và Nhật Bả</w:t>
      </w:r>
      <w:r>
        <w:rPr>
          <w:rFonts w:ascii="Times New Roman" w:hAnsi="Times New Roman" w:cs="Times New Roman"/>
          <w:sz w:val="26"/>
          <w:szCs w:val="26"/>
        </w:rPr>
        <w:t xml:space="preserve">n, </w:t>
      </w:r>
      <w:r w:rsidR="004005C1">
        <w:rPr>
          <w:rFonts w:ascii="Times New Roman" w:hAnsi="Times New Roman" w:cs="Times New Roman"/>
          <w:sz w:val="26"/>
          <w:szCs w:val="26"/>
        </w:rPr>
        <w:t>nhằm</w:t>
      </w:r>
      <w:r w:rsidRPr="009E1746">
        <w:rPr>
          <w:rFonts w:ascii="Times New Roman" w:hAnsi="Times New Roman" w:cs="Times New Roman"/>
          <w:sz w:val="26"/>
          <w:szCs w:val="26"/>
        </w:rPr>
        <w:t xml:space="preserve"> nâng cao chất lượng dịch vụ được cung cấp bởi cả hai hãng trên các chuyến bay giữa Malaysia và Nhật Bản.</w:t>
      </w:r>
    </w:p>
    <w:p w:rsidR="009E1746" w:rsidRPr="009E1746" w:rsidRDefault="009E1746" w:rsidP="009E1746">
      <w:pPr>
        <w:spacing w:before="120" w:after="120" w:line="312" w:lineRule="auto"/>
        <w:ind w:firstLine="720"/>
        <w:jc w:val="both"/>
        <w:rPr>
          <w:rFonts w:ascii="Times New Roman" w:hAnsi="Times New Roman" w:cs="Times New Roman"/>
          <w:sz w:val="26"/>
          <w:szCs w:val="26"/>
        </w:rPr>
      </w:pPr>
      <w:proofErr w:type="gramStart"/>
      <w:r w:rsidRPr="009E1746">
        <w:rPr>
          <w:rFonts w:ascii="Times New Roman" w:hAnsi="Times New Roman" w:cs="Times New Roman"/>
          <w:sz w:val="26"/>
          <w:szCs w:val="26"/>
        </w:rPr>
        <w:t>Vào năm 2012, khi MAB quyết định gia nhập liên minh oneworld, hai hãng hàng không bắt đầu cung cấp các hoạt động bay liên danh giữa Nhật Bản và Malaysia.</w:t>
      </w:r>
      <w:proofErr w:type="gramEnd"/>
      <w:r w:rsidRPr="009E1746">
        <w:rPr>
          <w:rFonts w:ascii="Times New Roman" w:hAnsi="Times New Roman" w:cs="Times New Roman"/>
          <w:sz w:val="26"/>
          <w:szCs w:val="26"/>
        </w:rPr>
        <w:t xml:space="preserve"> Việc kinh doanh </w:t>
      </w:r>
      <w:proofErr w:type="gramStart"/>
      <w:r w:rsidRPr="009E1746">
        <w:rPr>
          <w:rFonts w:ascii="Times New Roman" w:hAnsi="Times New Roman" w:cs="Times New Roman"/>
          <w:sz w:val="26"/>
          <w:szCs w:val="26"/>
        </w:rPr>
        <w:t>chung</w:t>
      </w:r>
      <w:proofErr w:type="gramEnd"/>
      <w:r w:rsidRPr="009E1746">
        <w:rPr>
          <w:rFonts w:ascii="Times New Roman" w:hAnsi="Times New Roman" w:cs="Times New Roman"/>
          <w:sz w:val="26"/>
          <w:szCs w:val="26"/>
        </w:rPr>
        <w:t xml:space="preserve"> sẽ đánh dấu một chương mới sẽ cung cấp nhiều giá trị</w:t>
      </w:r>
      <w:r>
        <w:rPr>
          <w:rFonts w:ascii="Times New Roman" w:hAnsi="Times New Roman" w:cs="Times New Roman"/>
          <w:sz w:val="26"/>
          <w:szCs w:val="26"/>
        </w:rPr>
        <w:t xml:space="preserve"> hơn cho khách hàng.</w:t>
      </w:r>
    </w:p>
    <w:p w:rsidR="009E1746" w:rsidRPr="009E1746" w:rsidRDefault="009E1746" w:rsidP="005257BB">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Ngoài ra, MAB và JAL cũng sẽ tìm cách hợp tác trong phạm vi rộng hơn, như trao đổi thực tiễn tốt nhất, khám phá sự hợp tác trong các lĩnh vực hoạt động khác, như vận chuyển hàng hóa và cùng phát triển du lịch ở cả thị trường Nhật Bả</w:t>
      </w:r>
      <w:r w:rsidR="005257BB">
        <w:rPr>
          <w:rFonts w:ascii="Times New Roman" w:hAnsi="Times New Roman" w:cs="Times New Roman"/>
          <w:sz w:val="26"/>
          <w:szCs w:val="26"/>
        </w:rPr>
        <w:t>n và Malaysia.</w:t>
      </w:r>
    </w:p>
    <w:p w:rsidR="009E1746" w:rsidRPr="009E1746"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 xml:space="preserve">Cả MAB và JAL đều đã nộp đơn lên MAVCOM và Bộ Đất </w:t>
      </w:r>
      <w:proofErr w:type="gramStart"/>
      <w:r w:rsidRPr="009E1746">
        <w:rPr>
          <w:rFonts w:ascii="Times New Roman" w:hAnsi="Times New Roman" w:cs="Times New Roman"/>
          <w:sz w:val="26"/>
          <w:szCs w:val="26"/>
        </w:rPr>
        <w:t>đai</w:t>
      </w:r>
      <w:proofErr w:type="gramEnd"/>
      <w:r w:rsidRPr="009E1746">
        <w:rPr>
          <w:rFonts w:ascii="Times New Roman" w:hAnsi="Times New Roman" w:cs="Times New Roman"/>
          <w:sz w:val="26"/>
          <w:szCs w:val="26"/>
        </w:rPr>
        <w:t>, Cơ sở hạ tầng, Giao thông và Du lịch của Nhật Bản, tìm kiếm</w:t>
      </w:r>
      <w:r w:rsidR="003D6A27">
        <w:rPr>
          <w:rFonts w:ascii="Times New Roman" w:hAnsi="Times New Roman" w:cs="Times New Roman"/>
          <w:sz w:val="26"/>
          <w:szCs w:val="26"/>
        </w:rPr>
        <w:t xml:space="preserve"> cơ hội được</w:t>
      </w:r>
      <w:r w:rsidRPr="009E1746">
        <w:rPr>
          <w:rFonts w:ascii="Times New Roman" w:hAnsi="Times New Roman" w:cs="Times New Roman"/>
          <w:sz w:val="26"/>
          <w:szCs w:val="26"/>
        </w:rPr>
        <w:t xml:space="preserve"> miễn trừ khỏi luật chống độc quyền. </w:t>
      </w:r>
      <w:proofErr w:type="gramStart"/>
      <w:r w:rsidRPr="009E1746">
        <w:rPr>
          <w:rFonts w:ascii="Times New Roman" w:hAnsi="Times New Roman" w:cs="Times New Roman"/>
          <w:sz w:val="26"/>
          <w:szCs w:val="26"/>
        </w:rPr>
        <w:t>Nếu được chấp thuận, MAB và JAL sẽ cố gắng cung cấp các tùy chọn du lịch thuận tiện cho khách hàng với mạng lưới toàn diện trên khắp Malaysia và Nhật Bả</w:t>
      </w:r>
      <w:r>
        <w:rPr>
          <w:rFonts w:ascii="Times New Roman" w:hAnsi="Times New Roman" w:cs="Times New Roman"/>
          <w:sz w:val="26"/>
          <w:szCs w:val="26"/>
        </w:rPr>
        <w:t>n.</w:t>
      </w:r>
      <w:proofErr w:type="gramEnd"/>
    </w:p>
    <w:p w:rsidR="009E1746" w:rsidRPr="009E1746"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Hiện tại, Malaysia Airlines khai thác một dịch vụ 12 lần mỗi tuầ</w:t>
      </w:r>
      <w:r w:rsidR="003D6A27">
        <w:rPr>
          <w:rFonts w:ascii="Times New Roman" w:hAnsi="Times New Roman" w:cs="Times New Roman"/>
          <w:sz w:val="26"/>
          <w:szCs w:val="26"/>
        </w:rPr>
        <w:t>n và Japan Airlines khai thác</w:t>
      </w:r>
      <w:r w:rsidRPr="009E1746">
        <w:rPr>
          <w:rFonts w:ascii="Times New Roman" w:hAnsi="Times New Roman" w:cs="Times New Roman"/>
          <w:sz w:val="26"/>
          <w:szCs w:val="26"/>
        </w:rPr>
        <w:t xml:space="preserve"> dịch vụ 7 lần mỗi tuần, đại diện cho tổng số 19 chuyến bay hàng </w:t>
      </w:r>
      <w:r w:rsidRPr="009E1746">
        <w:rPr>
          <w:rFonts w:ascii="Times New Roman" w:hAnsi="Times New Roman" w:cs="Times New Roman"/>
          <w:sz w:val="26"/>
          <w:szCs w:val="26"/>
        </w:rPr>
        <w:lastRenderedPageBreak/>
        <w:t>tuần, giữ</w:t>
      </w:r>
      <w:r w:rsidR="003D6A27">
        <w:rPr>
          <w:rFonts w:ascii="Times New Roman" w:hAnsi="Times New Roman" w:cs="Times New Roman"/>
          <w:sz w:val="26"/>
          <w:szCs w:val="26"/>
        </w:rPr>
        <w:t>a Kuala Lumpur và</w:t>
      </w:r>
      <w:r w:rsidRPr="009E1746">
        <w:rPr>
          <w:rFonts w:ascii="Times New Roman" w:hAnsi="Times New Roman" w:cs="Times New Roman"/>
          <w:sz w:val="26"/>
          <w:szCs w:val="26"/>
        </w:rPr>
        <w:t xml:space="preserve"> Tokyo. Malaysia Airlines cũng khai thác một dịch vụ hàng ngày từ Kuala Lumpur đến Osaka và dịch vụ 2 lần mỗi tuần từ Kota Kinabalu đến Tokyo. Thỏa thuận sẽ mở ra </w:t>
      </w:r>
      <w:r w:rsidR="003D6A27">
        <w:rPr>
          <w:rFonts w:ascii="Times New Roman" w:hAnsi="Times New Roman" w:cs="Times New Roman"/>
          <w:sz w:val="26"/>
          <w:szCs w:val="26"/>
        </w:rPr>
        <w:t xml:space="preserve">cơ hội cho </w:t>
      </w:r>
      <w:r w:rsidRPr="009E1746">
        <w:rPr>
          <w:rFonts w:ascii="Times New Roman" w:hAnsi="Times New Roman" w:cs="Times New Roman"/>
          <w:sz w:val="26"/>
          <w:szCs w:val="26"/>
        </w:rPr>
        <w:t>cả hai quốc gia</w:t>
      </w:r>
      <w:r w:rsidR="003D6A27">
        <w:rPr>
          <w:rFonts w:ascii="Times New Roman" w:hAnsi="Times New Roman" w:cs="Times New Roman"/>
          <w:sz w:val="26"/>
          <w:szCs w:val="26"/>
        </w:rPr>
        <w:t xml:space="preserve"> tăng</w:t>
      </w:r>
      <w:r w:rsidRPr="009E1746">
        <w:rPr>
          <w:rFonts w:ascii="Times New Roman" w:hAnsi="Times New Roman" w:cs="Times New Roman"/>
          <w:sz w:val="26"/>
          <w:szCs w:val="26"/>
        </w:rPr>
        <w:t xml:space="preserve"> lưu lượng đến từ thị trường tương ứng của họ</w:t>
      </w:r>
      <w:r>
        <w:rPr>
          <w:rFonts w:ascii="Times New Roman" w:hAnsi="Times New Roman" w:cs="Times New Roman"/>
          <w:sz w:val="26"/>
          <w:szCs w:val="26"/>
        </w:rPr>
        <w:t>.</w:t>
      </w:r>
    </w:p>
    <w:p w:rsidR="009E1746" w:rsidRPr="009E1746" w:rsidRDefault="009E1746" w:rsidP="009E174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w:t>
      </w:r>
      <w:r w:rsidRPr="009E1746">
        <w:rPr>
          <w:rFonts w:ascii="Times New Roman" w:hAnsi="Times New Roman" w:cs="Times New Roman"/>
          <w:sz w:val="26"/>
          <w:szCs w:val="26"/>
        </w:rPr>
        <w:t xml:space="preserve"> Tậ</w:t>
      </w:r>
      <w:r>
        <w:rPr>
          <w:rFonts w:ascii="Times New Roman" w:hAnsi="Times New Roman" w:cs="Times New Roman"/>
          <w:sz w:val="26"/>
          <w:szCs w:val="26"/>
        </w:rPr>
        <w:t xml:space="preserve">p đoàn Malaysia Airlines, </w:t>
      </w:r>
      <w:r w:rsidRPr="009E1746">
        <w:rPr>
          <w:rFonts w:ascii="Times New Roman" w:hAnsi="Times New Roman" w:cs="Times New Roman"/>
          <w:sz w:val="26"/>
          <w:szCs w:val="26"/>
        </w:rPr>
        <w:t xml:space="preserve">Japan Airlines luôn có liên kết thương mại mạnh mẽ với hãng hàng không quốc gia và </w:t>
      </w:r>
      <w:r w:rsidR="003D6A27">
        <w:rPr>
          <w:rFonts w:ascii="Times New Roman" w:hAnsi="Times New Roman" w:cs="Times New Roman"/>
          <w:sz w:val="26"/>
          <w:szCs w:val="26"/>
        </w:rPr>
        <w:t>đã chuẩn bị sẵn sàng cho việc</w:t>
      </w:r>
      <w:r w:rsidRPr="009E1746">
        <w:rPr>
          <w:rFonts w:ascii="Times New Roman" w:hAnsi="Times New Roman" w:cs="Times New Roman"/>
          <w:sz w:val="26"/>
          <w:szCs w:val="26"/>
        </w:rPr>
        <w:t xml:space="preserve"> thực hiện bước quan trọng tiếp </w:t>
      </w:r>
      <w:proofErr w:type="gramStart"/>
      <w:r w:rsidRPr="009E1746">
        <w:rPr>
          <w:rFonts w:ascii="Times New Roman" w:hAnsi="Times New Roman" w:cs="Times New Roman"/>
          <w:sz w:val="26"/>
          <w:szCs w:val="26"/>
        </w:rPr>
        <w:t>theo</w:t>
      </w:r>
      <w:proofErr w:type="gramEnd"/>
      <w:r w:rsidRPr="009E1746">
        <w:rPr>
          <w:rFonts w:ascii="Times New Roman" w:hAnsi="Times New Roman" w:cs="Times New Roman"/>
          <w:sz w:val="26"/>
          <w:szCs w:val="26"/>
        </w:rPr>
        <w:t xml:space="preserve"> này với đối tác thân thiết. </w:t>
      </w:r>
      <w:r w:rsidR="003D6A27">
        <w:rPr>
          <w:rFonts w:ascii="Times New Roman" w:hAnsi="Times New Roman" w:cs="Times New Roman"/>
          <w:sz w:val="26"/>
          <w:szCs w:val="26"/>
        </w:rPr>
        <w:t>M</w:t>
      </w:r>
      <w:r w:rsidRPr="009E1746">
        <w:rPr>
          <w:rFonts w:ascii="Times New Roman" w:hAnsi="Times New Roman" w:cs="Times New Roman"/>
          <w:sz w:val="26"/>
          <w:szCs w:val="26"/>
        </w:rPr>
        <w:t>ột mạng lưới toàn diện hơn cho khách hàng tôi đồng thời đóng vai trò chính trong việc tăng cường hơn nữa quan hệ thương mại giữa Malaysia và Nhật Bản, tăng du lịch và quảng bá sân bay quốc tế Kuala Lumpur như mộ</w:t>
      </w:r>
      <w:r>
        <w:rPr>
          <w:rFonts w:ascii="Times New Roman" w:hAnsi="Times New Roman" w:cs="Times New Roman"/>
          <w:sz w:val="26"/>
          <w:szCs w:val="26"/>
        </w:rPr>
        <w:t>t trung tâm hàng không.</w:t>
      </w:r>
    </w:p>
    <w:p w:rsidR="009E1746" w:rsidRPr="009E1746" w:rsidRDefault="003D6A27" w:rsidP="009E174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009E1746" w:rsidRPr="009E1746">
        <w:rPr>
          <w:rFonts w:ascii="Times New Roman" w:hAnsi="Times New Roman" w:cs="Times New Roman"/>
          <w:sz w:val="26"/>
          <w:szCs w:val="26"/>
        </w:rPr>
        <w:t>ợp tác kinh doanh giữa Malaysia Airlines và Japan Airlines là một cột mốc quan trọng trong Kế hoạch kinh doanh dài hạn nhằm khám phá nhiều cơ hội chiến lược cũng như làm sâu sắc thêm nhiều mối quan hệ đối tác</w:t>
      </w:r>
      <w:r>
        <w:rPr>
          <w:rFonts w:ascii="Times New Roman" w:hAnsi="Times New Roman" w:cs="Times New Roman"/>
          <w:sz w:val="26"/>
          <w:szCs w:val="26"/>
        </w:rPr>
        <w:t>.</w:t>
      </w:r>
    </w:p>
    <w:p w:rsidR="003C2A40" w:rsidRPr="009236F3"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Theo các</w:t>
      </w:r>
      <w:r w:rsidR="003D6A27">
        <w:rPr>
          <w:rFonts w:ascii="Times New Roman" w:hAnsi="Times New Roman" w:cs="Times New Roman"/>
          <w:sz w:val="26"/>
          <w:szCs w:val="26"/>
        </w:rPr>
        <w:t xml:space="preserve"> văn bản</w:t>
      </w:r>
      <w:r w:rsidRPr="009E1746">
        <w:rPr>
          <w:rFonts w:ascii="Times New Roman" w:hAnsi="Times New Roman" w:cs="Times New Roman"/>
          <w:sz w:val="26"/>
          <w:szCs w:val="26"/>
        </w:rPr>
        <w:t xml:space="preserve"> phê duyệt có liên quan, Malaysia Airlines và Japan Airlines dự định bắt đầu kinh doanh </w:t>
      </w:r>
      <w:proofErr w:type="gramStart"/>
      <w:r w:rsidRPr="009E1746">
        <w:rPr>
          <w:rFonts w:ascii="Times New Roman" w:hAnsi="Times New Roman" w:cs="Times New Roman"/>
          <w:sz w:val="26"/>
          <w:szCs w:val="26"/>
        </w:rPr>
        <w:t>chung</w:t>
      </w:r>
      <w:proofErr w:type="gramEnd"/>
      <w:r w:rsidRPr="009E1746">
        <w:rPr>
          <w:rFonts w:ascii="Times New Roman" w:hAnsi="Times New Roman" w:cs="Times New Roman"/>
          <w:sz w:val="26"/>
          <w:szCs w:val="26"/>
        </w:rPr>
        <w:t xml:space="preserve"> vào năm 2020.</w:t>
      </w:r>
    </w:p>
    <w:p w:rsidR="005B5D6D" w:rsidRPr="00DC2A1D" w:rsidRDefault="005F2D19" w:rsidP="00DC2A1D">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0F08A1" w:rsidRDefault="003D6A27" w:rsidP="00DC2A1D">
      <w:pPr>
        <w:spacing w:before="120" w:after="120" w:line="312" w:lineRule="auto"/>
        <w:ind w:firstLine="720"/>
        <w:jc w:val="both"/>
        <w:rPr>
          <w:rFonts w:ascii="Times New Roman" w:hAnsi="Times New Roman" w:cs="Times New Roman"/>
          <w:sz w:val="26"/>
          <w:szCs w:val="26"/>
        </w:rPr>
      </w:pPr>
      <w:proofErr w:type="gramStart"/>
      <w:r w:rsidRPr="003D6A27">
        <w:rPr>
          <w:rFonts w:ascii="Times New Roman" w:hAnsi="Times New Roman" w:cs="Times New Roman"/>
          <w:sz w:val="26"/>
          <w:szCs w:val="26"/>
        </w:rPr>
        <w:t>Hiện tại, Malaysia có tổng cộng bả</w:t>
      </w:r>
      <w:r w:rsidR="005D55B1">
        <w:rPr>
          <w:rFonts w:ascii="Times New Roman" w:hAnsi="Times New Roman" w:cs="Times New Roman"/>
          <w:sz w:val="26"/>
          <w:szCs w:val="26"/>
        </w:rPr>
        <w:t>y</w:t>
      </w:r>
      <w:r w:rsidRPr="003D6A27">
        <w:rPr>
          <w:rFonts w:ascii="Times New Roman" w:hAnsi="Times New Roman" w:cs="Times New Roman"/>
          <w:sz w:val="26"/>
          <w:szCs w:val="26"/>
        </w:rPr>
        <w:t xml:space="preserve"> cảng lớn của Liên bang là Cảng Klang, Cảng Johor, Cảng Tanjung Pelepas, Cảng Kuantan, Cảng Penang, Cảng Bintulu và Cảng Kemaman.</w:t>
      </w:r>
      <w:proofErr w:type="gramEnd"/>
      <w:r w:rsidRPr="003D6A27">
        <w:rPr>
          <w:rFonts w:ascii="Times New Roman" w:hAnsi="Times New Roman" w:cs="Times New Roman"/>
          <w:sz w:val="26"/>
          <w:szCs w:val="26"/>
        </w:rPr>
        <w:t xml:space="preserve"> </w:t>
      </w:r>
      <w:proofErr w:type="gramStart"/>
      <w:r w:rsidRPr="003D6A27">
        <w:rPr>
          <w:rFonts w:ascii="Times New Roman" w:hAnsi="Times New Roman" w:cs="Times New Roman"/>
          <w:sz w:val="26"/>
          <w:szCs w:val="26"/>
        </w:rPr>
        <w:t>Trong khi đó, các cảng ở Sabah và Sarawak thuộc thẩm quyền của Chính phủ bang Sabah và Sarawak tương ứ</w:t>
      </w:r>
      <w:r>
        <w:rPr>
          <w:rFonts w:ascii="Times New Roman" w:hAnsi="Times New Roman" w:cs="Times New Roman"/>
          <w:sz w:val="26"/>
          <w:szCs w:val="26"/>
        </w:rPr>
        <w:t>ng</w:t>
      </w:r>
      <w:r w:rsidR="00DC2A1D" w:rsidRPr="00DC2A1D">
        <w:rPr>
          <w:rFonts w:ascii="Times New Roman" w:hAnsi="Times New Roman" w:cs="Times New Roman"/>
          <w:sz w:val="26"/>
          <w:szCs w:val="26"/>
        </w:rPr>
        <w:t>.</w:t>
      </w:r>
      <w:proofErr w:type="gramEnd"/>
    </w:p>
    <w:p w:rsidR="003D6A27" w:rsidRDefault="003D6A27" w:rsidP="00DC2A1D">
      <w:pPr>
        <w:spacing w:before="120" w:after="120" w:line="312" w:lineRule="auto"/>
        <w:ind w:firstLine="720"/>
        <w:jc w:val="both"/>
        <w:rPr>
          <w:rFonts w:ascii="Times New Roman" w:hAnsi="Times New Roman" w:cs="Times New Roman"/>
          <w:sz w:val="26"/>
          <w:szCs w:val="26"/>
        </w:rPr>
      </w:pPr>
      <w:r w:rsidRPr="003D6A27">
        <w:rPr>
          <w:rFonts w:ascii="Times New Roman" w:hAnsi="Times New Roman" w:cs="Times New Roman"/>
          <w:sz w:val="26"/>
          <w:szCs w:val="26"/>
        </w:rPr>
        <w:t>Bộ Giao thông vận tải</w:t>
      </w:r>
      <w:r>
        <w:rPr>
          <w:rFonts w:ascii="Times New Roman" w:hAnsi="Times New Roman" w:cs="Times New Roman"/>
          <w:sz w:val="26"/>
          <w:szCs w:val="26"/>
        </w:rPr>
        <w:t xml:space="preserve"> Malaysia</w:t>
      </w:r>
      <w:r w:rsidRPr="003D6A27">
        <w:rPr>
          <w:rFonts w:ascii="Times New Roman" w:hAnsi="Times New Roman" w:cs="Times New Roman"/>
          <w:sz w:val="26"/>
          <w:szCs w:val="26"/>
        </w:rPr>
        <w:t xml:space="preserve"> đã ban hành các hành </w:t>
      </w:r>
      <w:proofErr w:type="gramStart"/>
      <w:r w:rsidRPr="003D6A27">
        <w:rPr>
          <w:rFonts w:ascii="Times New Roman" w:hAnsi="Times New Roman" w:cs="Times New Roman"/>
          <w:sz w:val="26"/>
          <w:szCs w:val="26"/>
        </w:rPr>
        <w:t>vi</w:t>
      </w:r>
      <w:proofErr w:type="gramEnd"/>
      <w:r w:rsidRPr="003D6A27">
        <w:rPr>
          <w:rFonts w:ascii="Times New Roman" w:hAnsi="Times New Roman" w:cs="Times New Roman"/>
          <w:sz w:val="26"/>
          <w:szCs w:val="26"/>
        </w:rPr>
        <w:t xml:space="preserve"> / pháp lệnh / công báo sau đây để điều chỉnh các hoạt động liên quan đến vận hành và vận chuyển cả</w:t>
      </w:r>
      <w:r>
        <w:rPr>
          <w:rFonts w:ascii="Times New Roman" w:hAnsi="Times New Roman" w:cs="Times New Roman"/>
          <w:sz w:val="26"/>
          <w:szCs w:val="26"/>
        </w:rPr>
        <w:t>ng như sau:</w:t>
      </w:r>
    </w:p>
    <w:p w:rsidR="003D6A27" w:rsidRPr="00C967FC" w:rsidRDefault="003D6A27"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Ocean Cargo Transport Act 1950 [Act 532]</w:t>
      </w:r>
      <w:r w:rsidR="00C967FC" w:rsidRPr="00C967FC">
        <w:rPr>
          <w:rFonts w:ascii="Times New Roman" w:hAnsi="Times New Roman" w:cs="Times New Roman"/>
          <w:sz w:val="26"/>
          <w:szCs w:val="26"/>
        </w:rPr>
        <w:t>: Luật vận chuyển hàng hóa bằng đường biển</w:t>
      </w:r>
    </w:p>
    <w:p w:rsidR="00C967FC" w:rsidRPr="00C967FC" w:rsidRDefault="00C967FC"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 xml:space="preserve">Federal light dues Act 1953 [Act 240]: </w:t>
      </w:r>
    </w:p>
    <w:p w:rsidR="00C967FC" w:rsidRPr="00C967FC" w:rsidRDefault="00C967FC"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 xml:space="preserve">Penang port Commission Act 1955 [Act 138]: </w:t>
      </w:r>
    </w:p>
    <w:p w:rsidR="00C967FC" w:rsidRPr="00C967FC" w:rsidRDefault="00C967FC"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 xml:space="preserve">Port Authorities Act 1963 [Act 487]: </w:t>
      </w:r>
    </w:p>
    <w:p w:rsidR="00C967FC" w:rsidRPr="00C967FC" w:rsidRDefault="00C967FC"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Ports (privatisation) Act 1990 [Act 422]</w:t>
      </w:r>
    </w:p>
    <w:p w:rsidR="00C967FC" w:rsidRPr="00C967FC" w:rsidRDefault="00C967FC" w:rsidP="00C967FC">
      <w:pPr>
        <w:pStyle w:val="ListParagraph"/>
        <w:numPr>
          <w:ilvl w:val="0"/>
          <w:numId w:val="25"/>
        </w:numPr>
        <w:spacing w:before="120" w:after="120" w:line="312" w:lineRule="auto"/>
        <w:jc w:val="both"/>
        <w:rPr>
          <w:rFonts w:ascii="Times New Roman" w:hAnsi="Times New Roman" w:cs="Times New Roman"/>
          <w:sz w:val="26"/>
          <w:szCs w:val="26"/>
        </w:rPr>
      </w:pPr>
      <w:r w:rsidRPr="00C967FC">
        <w:rPr>
          <w:rFonts w:ascii="Times New Roman" w:hAnsi="Times New Roman" w:cs="Times New Roman"/>
          <w:sz w:val="26"/>
          <w:szCs w:val="26"/>
        </w:rPr>
        <w:t>International Yacht Registration Act Langkawi 2003 [Act 630]</w:t>
      </w:r>
    </w:p>
    <w:p w:rsidR="003D6A27" w:rsidRPr="00C967FC" w:rsidRDefault="00C967FC" w:rsidP="00C967FC">
      <w:pPr>
        <w:spacing w:before="120" w:after="120" w:line="312" w:lineRule="auto"/>
        <w:ind w:firstLine="720"/>
        <w:jc w:val="both"/>
        <w:rPr>
          <w:rFonts w:ascii="Times New Roman" w:hAnsi="Times New Roman" w:cs="Times New Roman"/>
          <w:i/>
          <w:sz w:val="26"/>
          <w:szCs w:val="26"/>
        </w:rPr>
      </w:pPr>
      <w:r w:rsidRPr="00C967FC">
        <w:rPr>
          <w:rFonts w:ascii="Times New Roman" w:hAnsi="Times New Roman" w:cs="Times New Roman"/>
          <w:i/>
          <w:sz w:val="26"/>
          <w:szCs w:val="26"/>
        </w:rPr>
        <w:lastRenderedPageBreak/>
        <w:t>(Độc giả có nhu cầu nhận các file tiếng Anh về các luật này vui lòng liên hệ ban biên tập)</w:t>
      </w:r>
    </w:p>
    <w:p w:rsidR="00441806" w:rsidRPr="003D6A27" w:rsidRDefault="00820E4B" w:rsidP="003D6A27">
      <w:pPr>
        <w:pStyle w:val="ListParagraph"/>
        <w:numPr>
          <w:ilvl w:val="1"/>
          <w:numId w:val="1"/>
        </w:numPr>
        <w:spacing w:after="0" w:line="312" w:lineRule="auto"/>
        <w:jc w:val="both"/>
        <w:rPr>
          <w:rFonts w:ascii="Times New Roman" w:hAnsi="Times New Roman" w:cs="Times New Roman"/>
          <w:b/>
          <w:i/>
          <w:sz w:val="26"/>
          <w:szCs w:val="26"/>
        </w:rPr>
      </w:pPr>
      <w:r w:rsidRPr="00441806">
        <w:rPr>
          <w:rFonts w:ascii="Times New Roman" w:hAnsi="Times New Roman" w:cs="Times New Roman"/>
          <w:b/>
          <w:i/>
          <w:sz w:val="26"/>
          <w:szCs w:val="26"/>
        </w:rPr>
        <w:t>Kho bãi, g</w:t>
      </w:r>
      <w:r w:rsidR="009C35ED" w:rsidRPr="00441806">
        <w:rPr>
          <w:rFonts w:ascii="Times New Roman" w:hAnsi="Times New Roman" w:cs="Times New Roman"/>
          <w:b/>
          <w:i/>
          <w:sz w:val="26"/>
          <w:szCs w:val="26"/>
        </w:rPr>
        <w:t>iao nhận</w:t>
      </w:r>
      <w:r w:rsidRPr="00441806">
        <w:rPr>
          <w:rFonts w:ascii="Times New Roman" w:hAnsi="Times New Roman" w:cs="Times New Roman"/>
          <w:b/>
          <w:i/>
          <w:sz w:val="26"/>
          <w:szCs w:val="26"/>
        </w:rPr>
        <w:t xml:space="preserve"> và các hoạt động logistics khác</w:t>
      </w:r>
    </w:p>
    <w:p w:rsid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FedEx </w:t>
      </w:r>
      <w:r>
        <w:rPr>
          <w:rFonts w:ascii="Times New Roman" w:hAnsi="Times New Roman" w:cs="Times New Roman"/>
          <w:sz w:val="26"/>
          <w:szCs w:val="26"/>
        </w:rPr>
        <w:t>Johor Station tham gia</w:t>
      </w:r>
      <w:r w:rsidRPr="00441806">
        <w:rPr>
          <w:rFonts w:ascii="Times New Roman" w:hAnsi="Times New Roman" w:cs="Times New Roman"/>
          <w:sz w:val="26"/>
          <w:szCs w:val="26"/>
        </w:rPr>
        <w:t xml:space="preserve"> vào Mạng lưới Đường </w:t>
      </w:r>
      <w:r>
        <w:rPr>
          <w:rFonts w:ascii="Times New Roman" w:hAnsi="Times New Roman" w:cs="Times New Roman"/>
          <w:sz w:val="26"/>
          <w:szCs w:val="26"/>
        </w:rPr>
        <w:t xml:space="preserve">bộ </w:t>
      </w:r>
      <w:r w:rsidRPr="00441806">
        <w:rPr>
          <w:rFonts w:ascii="Times New Roman" w:hAnsi="Times New Roman" w:cs="Times New Roman"/>
          <w:sz w:val="26"/>
          <w:szCs w:val="26"/>
        </w:rPr>
        <w:t>Châu Á</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proofErr w:type="gramStart"/>
      <w:r w:rsidRPr="00441806">
        <w:rPr>
          <w:rFonts w:ascii="Times New Roman" w:hAnsi="Times New Roman" w:cs="Times New Roman"/>
          <w:sz w:val="26"/>
          <w:szCs w:val="26"/>
        </w:rPr>
        <w:t>(FedEx) ra mắ</w:t>
      </w:r>
      <w:r w:rsidR="003D6A27">
        <w:rPr>
          <w:rFonts w:ascii="Times New Roman" w:hAnsi="Times New Roman" w:cs="Times New Roman"/>
          <w:sz w:val="26"/>
          <w:szCs w:val="26"/>
        </w:rPr>
        <w:t>t trạm</w:t>
      </w:r>
      <w:r w:rsidR="005D55B1">
        <w:rPr>
          <w:rFonts w:ascii="Times New Roman" w:hAnsi="Times New Roman" w:cs="Times New Roman"/>
          <w:sz w:val="26"/>
          <w:szCs w:val="26"/>
        </w:rPr>
        <w:t>/ga</w:t>
      </w:r>
      <w:r w:rsidR="003D6A27">
        <w:rPr>
          <w:rFonts w:ascii="Times New Roman" w:hAnsi="Times New Roman" w:cs="Times New Roman"/>
          <w:sz w:val="26"/>
          <w:szCs w:val="26"/>
        </w:rPr>
        <w:t xml:space="preserve"> xử lý hàng hóa tại</w:t>
      </w:r>
      <w:r w:rsidRPr="00441806">
        <w:rPr>
          <w:rFonts w:ascii="Times New Roman" w:hAnsi="Times New Roman" w:cs="Times New Roman"/>
          <w:sz w:val="26"/>
          <w:szCs w:val="26"/>
        </w:rPr>
        <w:t xml:space="preserve"> Johor mới, một cơ sở hậu cần một cửa tại cửa </w:t>
      </w:r>
      <w:r w:rsidR="003D6A27">
        <w:rPr>
          <w:rFonts w:ascii="Times New Roman" w:hAnsi="Times New Roman" w:cs="Times New Roman"/>
          <w:sz w:val="26"/>
          <w:szCs w:val="26"/>
        </w:rPr>
        <w:t>ngõ</w:t>
      </w:r>
      <w:r w:rsidRPr="00441806">
        <w:rPr>
          <w:rFonts w:ascii="Times New Roman" w:hAnsi="Times New Roman" w:cs="Times New Roman"/>
          <w:sz w:val="26"/>
          <w:szCs w:val="26"/>
        </w:rPr>
        <w:t xml:space="preserve"> của Singapore, nhằm tăng cường kết nối của khu vực phía nam Malaysia với thế giớ</w:t>
      </w:r>
      <w:r>
        <w:rPr>
          <w:rFonts w:ascii="Times New Roman" w:hAnsi="Times New Roman" w:cs="Times New Roman"/>
          <w:sz w:val="26"/>
          <w:szCs w:val="26"/>
        </w:rPr>
        <w:t>i.</w:t>
      </w:r>
      <w:proofErr w:type="gramEnd"/>
    </w:p>
    <w:p w:rsidR="00441806" w:rsidRPr="00441806" w:rsidRDefault="003D6A27" w:rsidP="00441806">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Nhà kho </w:t>
      </w:r>
      <w:r w:rsidR="00441806" w:rsidRPr="00441806">
        <w:rPr>
          <w:rFonts w:ascii="Times New Roman" w:hAnsi="Times New Roman" w:cs="Times New Roman"/>
          <w:sz w:val="26"/>
          <w:szCs w:val="26"/>
        </w:rPr>
        <w:t>rộng 2.676 m2, là một kho tích hợp và cơ sở phân loại có kích thước lớn hơn gấp đôi so với nhà ga trước đó.</w:t>
      </w:r>
      <w:proofErr w:type="gramEnd"/>
      <w:r w:rsidR="00441806" w:rsidRPr="00441806">
        <w:rPr>
          <w:rFonts w:ascii="Times New Roman" w:hAnsi="Times New Roman" w:cs="Times New Roman"/>
          <w:sz w:val="26"/>
          <w:szCs w:val="26"/>
        </w:rPr>
        <w:t xml:space="preserve"> Được trang bị các băng tải và hệ thống phân loại kính thiên văn tiên tiến, cơ sở</w:t>
      </w:r>
      <w:r>
        <w:rPr>
          <w:rFonts w:ascii="Times New Roman" w:hAnsi="Times New Roman" w:cs="Times New Roman"/>
          <w:sz w:val="26"/>
          <w:szCs w:val="26"/>
        </w:rPr>
        <w:t xml:space="preserve"> này</w:t>
      </w:r>
      <w:r w:rsidR="00441806" w:rsidRPr="00441806">
        <w:rPr>
          <w:rFonts w:ascii="Times New Roman" w:hAnsi="Times New Roman" w:cs="Times New Roman"/>
          <w:sz w:val="26"/>
          <w:szCs w:val="26"/>
        </w:rPr>
        <w:t xml:space="preserve"> có khả năng xử lý tới 1.100 gói </w:t>
      </w:r>
      <w:r>
        <w:rPr>
          <w:rFonts w:ascii="Times New Roman" w:hAnsi="Times New Roman" w:cs="Times New Roman"/>
          <w:sz w:val="26"/>
          <w:szCs w:val="26"/>
        </w:rPr>
        <w:t xml:space="preserve">hàng </w:t>
      </w:r>
      <w:r w:rsidR="00441806" w:rsidRPr="00441806">
        <w:rPr>
          <w:rFonts w:ascii="Times New Roman" w:hAnsi="Times New Roman" w:cs="Times New Roman"/>
          <w:sz w:val="26"/>
          <w:szCs w:val="26"/>
        </w:rPr>
        <w:t>mỗi giờ</w:t>
      </w:r>
      <w:r w:rsidR="00441806">
        <w:rPr>
          <w:rFonts w:ascii="Times New Roman" w:hAnsi="Times New Roman" w:cs="Times New Roman"/>
          <w:sz w:val="26"/>
          <w:szCs w:val="26"/>
        </w:rPr>
        <w:t>.</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Ga Johor - nằm ở thành phố Johor Bahru, phía nam của Malaysia, ngay đối diện Singapore sầm uất và đắt đỏ - sẽ được hỗ trợ bởi 51 phương tiện (bao gồm xe tải và xe tải 40 feet) đi qua hơn 43 tuyến đường ở Joho</w:t>
      </w:r>
      <w:r w:rsidR="005D55B1">
        <w:rPr>
          <w:rFonts w:ascii="Times New Roman" w:hAnsi="Times New Roman" w:cs="Times New Roman"/>
          <w:sz w:val="26"/>
          <w:szCs w:val="26"/>
        </w:rPr>
        <w:t>r Bahru</w:t>
      </w:r>
      <w:r>
        <w:rPr>
          <w:rFonts w:ascii="Times New Roman" w:hAnsi="Times New Roman" w:cs="Times New Roman"/>
          <w:sz w:val="26"/>
          <w:szCs w:val="26"/>
        </w:rPr>
        <w:t>, Batu Pahat và Kluang.</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Cơ sở này cũng sẽ được quản lý bởi 90 thành viên trong nhóm tập trung vào việc tạo điều kiện cho các chuyến hàn</w:t>
      </w:r>
      <w:r w:rsidR="003D6A27">
        <w:rPr>
          <w:rFonts w:ascii="Times New Roman" w:hAnsi="Times New Roman" w:cs="Times New Roman"/>
          <w:sz w:val="26"/>
          <w:szCs w:val="26"/>
        </w:rPr>
        <w:t>g ưu tiên và kinh doanh</w:t>
      </w:r>
      <w:r w:rsidRPr="00441806">
        <w:rPr>
          <w:rFonts w:ascii="Times New Roman" w:hAnsi="Times New Roman" w:cs="Times New Roman"/>
          <w:sz w:val="26"/>
          <w:szCs w:val="26"/>
        </w:rPr>
        <w:t xml:space="preserve"> quốc tế, vận chuyển hàng hóa có giá trị cao và hàng hóa </w:t>
      </w:r>
      <w:r w:rsidR="003D6A27">
        <w:rPr>
          <w:rFonts w:ascii="Times New Roman" w:hAnsi="Times New Roman" w:cs="Times New Roman"/>
          <w:sz w:val="26"/>
          <w:szCs w:val="26"/>
        </w:rPr>
        <w:t xml:space="preserve">có yêu cầu bảo quản cao như </w:t>
      </w:r>
      <w:r w:rsidRPr="00441806">
        <w:rPr>
          <w:rFonts w:ascii="Times New Roman" w:hAnsi="Times New Roman" w:cs="Times New Roman"/>
          <w:sz w:val="26"/>
          <w:szCs w:val="26"/>
        </w:rPr>
        <w:t>điện tử và linh kiện sản xuất cho các ngành công nghiệp khác nhau như ô tô và hàng hả</w:t>
      </w:r>
      <w:r>
        <w:rPr>
          <w:rFonts w:ascii="Times New Roman" w:hAnsi="Times New Roman" w:cs="Times New Roman"/>
          <w:sz w:val="26"/>
          <w:szCs w:val="26"/>
        </w:rPr>
        <w:t>i.</w:t>
      </w:r>
    </w:p>
    <w:p w:rsidR="00441806" w:rsidRP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Theo cam kết của FedEx để cung cấp các kết nối toàn cầu trong khi giảm thiểu tác động môi trường, các tấm pin mặt trời tạo ra tới 2.100 kWh và tiết kiệm 15-18% mức tiêu thụ năng lượng mỗi tháng đã được lắp đặt tại cơ sở để giúp giảm sự phụ thuộc của trạm vào các nguồn năng lượng truyền thố</w:t>
      </w:r>
      <w:r w:rsidR="003D6A27">
        <w:rPr>
          <w:rFonts w:ascii="Times New Roman" w:hAnsi="Times New Roman" w:cs="Times New Roman"/>
          <w:sz w:val="26"/>
          <w:szCs w:val="26"/>
        </w:rPr>
        <w:t>ng</w:t>
      </w:r>
      <w:r w:rsidRPr="00441806">
        <w:rPr>
          <w:rFonts w:ascii="Times New Roman" w:hAnsi="Times New Roman" w:cs="Times New Roman"/>
          <w:sz w:val="26"/>
          <w:szCs w:val="26"/>
        </w:rPr>
        <w:t xml:space="preserve">. Cơ sở này cũng được trang bị hệ thống </w:t>
      </w:r>
      <w:proofErr w:type="gramStart"/>
      <w:r w:rsidRPr="00441806">
        <w:rPr>
          <w:rFonts w:ascii="Times New Roman" w:hAnsi="Times New Roman" w:cs="Times New Roman"/>
          <w:sz w:val="26"/>
          <w:szCs w:val="26"/>
        </w:rPr>
        <w:t>thu</w:t>
      </w:r>
      <w:proofErr w:type="gramEnd"/>
      <w:r w:rsidRPr="00441806">
        <w:rPr>
          <w:rFonts w:ascii="Times New Roman" w:hAnsi="Times New Roman" w:cs="Times New Roman"/>
          <w:sz w:val="26"/>
          <w:szCs w:val="26"/>
        </w:rPr>
        <w:t xml:space="preserve"> gom nước mưa để rửa xe, tối ưu hóa hơn nữa việc sử dụng nướ</w:t>
      </w:r>
      <w:r>
        <w:rPr>
          <w:rFonts w:ascii="Times New Roman" w:hAnsi="Times New Roman" w:cs="Times New Roman"/>
          <w:sz w:val="26"/>
          <w:szCs w:val="26"/>
        </w:rPr>
        <w:t>c.</w:t>
      </w:r>
    </w:p>
    <w:p w:rsidR="00441806" w:rsidRDefault="00441806" w:rsidP="00441806">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t xml:space="preserve">Nhà ga FedEx Johor nằm ở Iskandar Malaysia, một trong những hành </w:t>
      </w:r>
      <w:proofErr w:type="gramStart"/>
      <w:r w:rsidRPr="00441806">
        <w:rPr>
          <w:rFonts w:ascii="Times New Roman" w:hAnsi="Times New Roman" w:cs="Times New Roman"/>
          <w:sz w:val="26"/>
          <w:szCs w:val="26"/>
        </w:rPr>
        <w:t>lang</w:t>
      </w:r>
      <w:proofErr w:type="gramEnd"/>
      <w:r w:rsidRPr="00441806">
        <w:rPr>
          <w:rFonts w:ascii="Times New Roman" w:hAnsi="Times New Roman" w:cs="Times New Roman"/>
          <w:sz w:val="26"/>
          <w:szCs w:val="26"/>
        </w:rPr>
        <w:t xml:space="preserve"> tăng trưởng kinh tế quan trọng của đất nước. Chỉ riêng bang Johor đã thu hút được 22</w:t>
      </w:r>
      <w:proofErr w:type="gramStart"/>
      <w:r w:rsidRPr="00441806">
        <w:rPr>
          <w:rFonts w:ascii="Times New Roman" w:hAnsi="Times New Roman" w:cs="Times New Roman"/>
          <w:sz w:val="26"/>
          <w:szCs w:val="26"/>
        </w:rPr>
        <w:t>,5</w:t>
      </w:r>
      <w:proofErr w:type="gramEnd"/>
      <w:r w:rsidRPr="00441806">
        <w:rPr>
          <w:rFonts w:ascii="Times New Roman" w:hAnsi="Times New Roman" w:cs="Times New Roman"/>
          <w:sz w:val="26"/>
          <w:szCs w:val="26"/>
        </w:rPr>
        <w:t xml:space="preserve"> tỷ đô la Mỹ đầu tư vào lĩnh vực sản xuất, sản lượng cao nhất trong cả nước từ 2013 đến 2016. </w:t>
      </w:r>
    </w:p>
    <w:p w:rsidR="00441806" w:rsidRPr="003D6A27" w:rsidRDefault="00441806" w:rsidP="003D6A27">
      <w:pPr>
        <w:spacing w:before="120" w:after="120" w:line="312" w:lineRule="auto"/>
        <w:ind w:firstLine="720"/>
        <w:jc w:val="both"/>
        <w:rPr>
          <w:rFonts w:ascii="Times New Roman" w:hAnsi="Times New Roman" w:cs="Times New Roman"/>
          <w:sz w:val="26"/>
          <w:szCs w:val="26"/>
        </w:rPr>
      </w:pPr>
      <w:r w:rsidRPr="00441806">
        <w:rPr>
          <w:rFonts w:ascii="Times New Roman" w:hAnsi="Times New Roman" w:cs="Times New Roman"/>
          <w:sz w:val="26"/>
          <w:szCs w:val="26"/>
        </w:rPr>
        <w:lastRenderedPageBreak/>
        <w:t>Mạng lưới Đường bộ Châu Á (ARN) là một mạng lưới đường bộ dài 7.000 km với các dịch vụ đường bộ xuất nhập khẩu từ cửa đến cửa, cung cấp quyền truy cập vào hơn 125 thành phố kết nối tất cả các thị trường trọng điểm ở Đông Nam Á và Trung Quốc, từ Singapore đến Quảng Châu. Ngoài ra, xe tải ARN được trang bị các công nghệ và tính năng an toàn mới nhất được giám sát bởi Trung tâm chỉ huy an ninh khu vực FedEx, hoạt động 24 giờ có trụ sở tạ</w:t>
      </w:r>
      <w:r>
        <w:rPr>
          <w:rFonts w:ascii="Times New Roman" w:hAnsi="Times New Roman" w:cs="Times New Roman"/>
          <w:sz w:val="26"/>
          <w:szCs w:val="26"/>
        </w:rPr>
        <w:t>i Singapore. Như vậy tính cả</w:t>
      </w:r>
      <w:r w:rsidRPr="00441806">
        <w:rPr>
          <w:rFonts w:ascii="Times New Roman" w:hAnsi="Times New Roman" w:cs="Times New Roman"/>
          <w:sz w:val="26"/>
          <w:szCs w:val="26"/>
        </w:rPr>
        <w:t xml:space="preserve"> Johor, FedEx hiện có 13 nhà ga trên khắp Malaysia ở các bang Negeri Sembilan, Perak, Pahang, Penang, Sabah, Sarawak, Selangor và lãnh thổ liên bang của Kuala Lumpur.</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3" w:name="_Toc10108632"/>
      <w:r w:rsidRPr="00126F3B">
        <w:rPr>
          <w:rFonts w:ascii="Times New Roman" w:hAnsi="Times New Roman" w:cs="Times New Roman"/>
          <w:b/>
          <w:sz w:val="26"/>
          <w:szCs w:val="26"/>
        </w:rPr>
        <w:t>Thị trường logistics Thái Lan:</w:t>
      </w:r>
      <w:bookmarkEnd w:id="13"/>
    </w:p>
    <w:p w:rsidR="007935F1" w:rsidRPr="001F7009" w:rsidRDefault="001F7009" w:rsidP="001F7009">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10108633"/>
      <w:r>
        <w:rPr>
          <w:rFonts w:ascii="Times New Roman" w:hAnsi="Times New Roman" w:cs="Times New Roman"/>
          <w:b/>
          <w:i/>
          <w:sz w:val="26"/>
          <w:szCs w:val="26"/>
        </w:rPr>
        <w:t xml:space="preserve">Phân tích sâu về thị trường logistics chuỗi lạnh của </w:t>
      </w:r>
      <w:r w:rsidR="00230F3C" w:rsidRPr="001F7009">
        <w:rPr>
          <w:rFonts w:ascii="Times New Roman" w:hAnsi="Times New Roman" w:cs="Times New Roman"/>
          <w:b/>
          <w:i/>
          <w:sz w:val="26"/>
          <w:szCs w:val="26"/>
        </w:rPr>
        <w:t>Thái</w:t>
      </w:r>
      <w:r>
        <w:rPr>
          <w:rFonts w:ascii="Times New Roman" w:hAnsi="Times New Roman" w:cs="Times New Roman"/>
          <w:b/>
          <w:i/>
          <w:sz w:val="26"/>
          <w:szCs w:val="26"/>
        </w:rPr>
        <w:t xml:space="preserve"> Lan giai đoạn 2019-2022</w:t>
      </w:r>
      <w:bookmarkEnd w:id="14"/>
    </w:p>
    <w:p w:rsidR="00D4492C" w:rsidRDefault="00D4492C" w:rsidP="00230F3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001D2F4A" w:rsidRPr="001D2F4A">
        <w:rPr>
          <w:rFonts w:ascii="Times New Roman" w:hAnsi="Times New Roman" w:cs="Times New Roman"/>
          <w:sz w:val="26"/>
          <w:szCs w:val="26"/>
        </w:rPr>
        <w:t xml:space="preserve">hị trường hậu cần chuỗi lạnh ở Thái Lan </w:t>
      </w:r>
      <w:r>
        <w:rPr>
          <w:rFonts w:ascii="Times New Roman" w:hAnsi="Times New Roman" w:cs="Times New Roman"/>
          <w:sz w:val="26"/>
          <w:szCs w:val="26"/>
        </w:rPr>
        <w:t xml:space="preserve">hiện </w:t>
      </w:r>
      <w:r w:rsidR="001D2F4A" w:rsidRPr="001D2F4A">
        <w:rPr>
          <w:rFonts w:ascii="Times New Roman" w:hAnsi="Times New Roman" w:cs="Times New Roman"/>
          <w:sz w:val="26"/>
          <w:szCs w:val="26"/>
        </w:rPr>
        <w:t>trị giá khoảng 26 tỷ baht và có khả</w:t>
      </w:r>
      <w:r w:rsidR="00C967FC">
        <w:rPr>
          <w:rFonts w:ascii="Times New Roman" w:hAnsi="Times New Roman" w:cs="Times New Roman"/>
          <w:sz w:val="26"/>
          <w:szCs w:val="26"/>
        </w:rPr>
        <w:t xml:space="preserve"> năng tăng 8%/năm </w:t>
      </w:r>
      <w:r w:rsidR="001D2F4A" w:rsidRPr="001D2F4A">
        <w:rPr>
          <w:rFonts w:ascii="Times New Roman" w:hAnsi="Times New Roman" w:cs="Times New Roman"/>
          <w:sz w:val="26"/>
          <w:szCs w:val="26"/>
        </w:rPr>
        <w:t xml:space="preserve">từ năm 2019 đến 2022 với việc mở rộng ngành công nghiệp thực phẩm và đồ uống là động lực chính. </w:t>
      </w:r>
    </w:p>
    <w:p w:rsidR="001D2F4A" w:rsidRPr="00F74E5E" w:rsidRDefault="001D2F4A" w:rsidP="00F74E5E">
      <w:pPr>
        <w:pStyle w:val="Caption"/>
        <w:spacing w:before="120" w:after="120" w:line="312" w:lineRule="auto"/>
        <w:jc w:val="center"/>
        <w:rPr>
          <w:rFonts w:ascii="Times New Roman" w:hAnsi="Times New Roman" w:cs="Times New Roman"/>
          <w:i/>
          <w:sz w:val="26"/>
          <w:szCs w:val="26"/>
        </w:rPr>
      </w:pPr>
      <w:bookmarkStart w:id="15" w:name="_Toc10108641"/>
      <w:r w:rsidRPr="006A0A2F">
        <w:rPr>
          <w:rFonts w:ascii="Times New Roman" w:hAnsi="Times New Roman" w:cs="Times New Roman"/>
          <w:sz w:val="26"/>
          <w:szCs w:val="26"/>
        </w:rPr>
        <w:t xml:space="preserve">Hình </w:t>
      </w:r>
      <w:r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Pr="006A0A2F">
        <w:rPr>
          <w:rFonts w:ascii="Times New Roman" w:hAnsi="Times New Roman" w:cs="Times New Roman"/>
          <w:sz w:val="26"/>
          <w:szCs w:val="26"/>
        </w:rPr>
        <w:fldChar w:fldCharType="separate"/>
      </w:r>
      <w:r w:rsidR="003D6A27">
        <w:rPr>
          <w:rFonts w:ascii="Times New Roman" w:hAnsi="Times New Roman" w:cs="Times New Roman"/>
          <w:noProof/>
          <w:sz w:val="26"/>
          <w:szCs w:val="26"/>
        </w:rPr>
        <w:t>4</w:t>
      </w:r>
      <w:r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Pr>
          <w:rFonts w:ascii="Times New Roman" w:hAnsi="Times New Roman" w:cs="Times New Roman"/>
          <w:sz w:val="26"/>
          <w:szCs w:val="26"/>
        </w:rPr>
        <w:t xml:space="preserve">Thị trường chuỗi lạnh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(dự báo đến năm 2030)</w:t>
      </w:r>
      <w:bookmarkEnd w:id="15"/>
    </w:p>
    <w:p w:rsidR="001D2F4A" w:rsidRDefault="001D2F4A" w:rsidP="00D4492C">
      <w:pPr>
        <w:spacing w:before="120" w:after="120" w:line="312" w:lineRule="auto"/>
        <w:jc w:val="both"/>
        <w:rPr>
          <w:rFonts w:ascii="Times New Roman" w:hAnsi="Times New Roman" w:cs="Times New Roman"/>
          <w:sz w:val="26"/>
          <w:szCs w:val="26"/>
        </w:rPr>
      </w:pPr>
      <w:r>
        <w:rPr>
          <w:noProof/>
        </w:rPr>
        <w:drawing>
          <wp:inline distT="0" distB="0" distL="0" distR="0">
            <wp:extent cx="5486400" cy="2567354"/>
            <wp:effectExtent l="0" t="0" r="0" b="0"/>
            <wp:docPr id="4" name="Picture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567354"/>
                    </a:xfrm>
                    <a:prstGeom prst="rect">
                      <a:avLst/>
                    </a:prstGeom>
                    <a:noFill/>
                    <a:ln>
                      <a:noFill/>
                    </a:ln>
                  </pic:spPr>
                </pic:pic>
              </a:graphicData>
            </a:graphic>
          </wp:inline>
        </w:drawing>
      </w:r>
    </w:p>
    <w:p w:rsidR="00D4492C" w:rsidRPr="00D4492C" w:rsidRDefault="00D4492C" w:rsidP="00F74E5E">
      <w:pPr>
        <w:spacing w:before="120" w:after="120" w:line="312" w:lineRule="auto"/>
        <w:jc w:val="center"/>
        <w:rPr>
          <w:rFonts w:ascii="Times New Roman" w:hAnsi="Times New Roman" w:cs="Times New Roman"/>
          <w:i/>
          <w:sz w:val="26"/>
          <w:szCs w:val="26"/>
        </w:rPr>
      </w:pPr>
      <w:r w:rsidRPr="00D4492C">
        <w:rPr>
          <w:rFonts w:ascii="Times New Roman" w:hAnsi="Times New Roman" w:cs="Times New Roman"/>
          <w:sz w:val="26"/>
          <w:szCs w:val="26"/>
        </w:rPr>
        <w:t xml:space="preserve">Ghi chú: </w:t>
      </w:r>
      <w:r w:rsidRPr="00D4492C">
        <w:rPr>
          <w:rFonts w:ascii="Times New Roman" w:hAnsi="Times New Roman" w:cs="Times New Roman"/>
          <w:i/>
          <w:sz w:val="26"/>
          <w:szCs w:val="26"/>
        </w:rPr>
        <w:t>* Tính từ chi phí vận chuyển và cho thuê của kho được kiểm soát nhiệt độ và khối lượng sản phẩm chính yêu cầu hậu cần chuỗi lạnh.</w:t>
      </w:r>
    </w:p>
    <w:p w:rsidR="00D4492C" w:rsidRPr="00D4492C" w:rsidRDefault="00D4492C" w:rsidP="00F74E5E">
      <w:pPr>
        <w:spacing w:before="120" w:after="120" w:line="312" w:lineRule="auto"/>
        <w:jc w:val="center"/>
        <w:rPr>
          <w:rFonts w:ascii="Times New Roman" w:hAnsi="Times New Roman" w:cs="Times New Roman"/>
          <w:i/>
          <w:sz w:val="26"/>
          <w:szCs w:val="26"/>
        </w:rPr>
      </w:pPr>
      <w:r w:rsidRPr="00D4492C">
        <w:rPr>
          <w:rFonts w:ascii="Times New Roman" w:hAnsi="Times New Roman" w:cs="Times New Roman"/>
          <w:i/>
          <w:sz w:val="26"/>
          <w:szCs w:val="26"/>
        </w:rPr>
        <w:t xml:space="preserve">Nguồn: Phân tích EIC dựa trên dữ liệu từ Vụ Thương mại </w:t>
      </w:r>
      <w:r w:rsidR="00F74E5E">
        <w:rPr>
          <w:rFonts w:ascii="Times New Roman" w:hAnsi="Times New Roman" w:cs="Times New Roman"/>
          <w:i/>
          <w:sz w:val="26"/>
          <w:szCs w:val="26"/>
        </w:rPr>
        <w:t>nội địa</w:t>
      </w:r>
      <w:r w:rsidRPr="00D4492C">
        <w:rPr>
          <w:rFonts w:ascii="Times New Roman" w:hAnsi="Times New Roman" w:cs="Times New Roman"/>
          <w:i/>
          <w:sz w:val="26"/>
          <w:szCs w:val="26"/>
        </w:rPr>
        <w:t xml:space="preserve">, Bộ Thương mại Thái </w:t>
      </w:r>
      <w:proofErr w:type="gramStart"/>
      <w:r w:rsidRPr="00D4492C">
        <w:rPr>
          <w:rFonts w:ascii="Times New Roman" w:hAnsi="Times New Roman" w:cs="Times New Roman"/>
          <w:i/>
          <w:sz w:val="26"/>
          <w:szCs w:val="26"/>
        </w:rPr>
        <w:t>Lan</w:t>
      </w:r>
      <w:proofErr w:type="gramEnd"/>
      <w:r w:rsidRPr="00D4492C">
        <w:rPr>
          <w:rFonts w:ascii="Times New Roman" w:hAnsi="Times New Roman" w:cs="Times New Roman"/>
          <w:i/>
          <w:sz w:val="26"/>
          <w:szCs w:val="26"/>
        </w:rPr>
        <w:t>.</w:t>
      </w:r>
    </w:p>
    <w:p w:rsidR="00F74E5E" w:rsidRDefault="00F74E5E" w:rsidP="00F74E5E">
      <w:pPr>
        <w:spacing w:before="120" w:after="120" w:line="312" w:lineRule="auto"/>
        <w:ind w:firstLine="720"/>
        <w:jc w:val="both"/>
        <w:rPr>
          <w:rFonts w:ascii="Times New Roman" w:hAnsi="Times New Roman" w:cs="Times New Roman"/>
          <w:sz w:val="26"/>
          <w:szCs w:val="26"/>
        </w:rPr>
      </w:pPr>
      <w:r w:rsidRPr="001D2F4A">
        <w:rPr>
          <w:rFonts w:ascii="Times New Roman" w:hAnsi="Times New Roman" w:cs="Times New Roman"/>
          <w:sz w:val="26"/>
          <w:szCs w:val="26"/>
        </w:rPr>
        <w:lastRenderedPageBreak/>
        <w:t xml:space="preserve">Hậu cần chuỗi lạnh, một loại hình hậu cần liên quan đến </w:t>
      </w:r>
      <w:r>
        <w:rPr>
          <w:rFonts w:ascii="Times New Roman" w:hAnsi="Times New Roman" w:cs="Times New Roman"/>
          <w:sz w:val="26"/>
          <w:szCs w:val="26"/>
        </w:rPr>
        <w:t>lưu</w:t>
      </w:r>
      <w:r w:rsidRPr="001D2F4A">
        <w:rPr>
          <w:rFonts w:ascii="Times New Roman" w:hAnsi="Times New Roman" w:cs="Times New Roman"/>
          <w:sz w:val="26"/>
          <w:szCs w:val="26"/>
        </w:rPr>
        <w:t xml:space="preserve"> kho và vận chuyển sản phẩm trong môi trường được kiểm soát nhiệt độ, đã liên tụ</w:t>
      </w:r>
      <w:r>
        <w:rPr>
          <w:rFonts w:ascii="Times New Roman" w:hAnsi="Times New Roman" w:cs="Times New Roman"/>
          <w:sz w:val="26"/>
          <w:szCs w:val="26"/>
        </w:rPr>
        <w:t>c</w:t>
      </w:r>
      <w:r w:rsidRPr="001D2F4A">
        <w:rPr>
          <w:rFonts w:ascii="Times New Roman" w:hAnsi="Times New Roman" w:cs="Times New Roman"/>
          <w:sz w:val="26"/>
          <w:szCs w:val="26"/>
        </w:rPr>
        <w:t xml:space="preserve"> phát triển và ngày càng được áp dụng bởi các doanh nghiệp thực phẩm và đồ uống để thay thế các dịch vụ hậu cần truyền thống. </w:t>
      </w:r>
    </w:p>
    <w:p w:rsidR="00F74E5E" w:rsidRDefault="00F74E5E" w:rsidP="00F74E5E">
      <w:pPr>
        <w:spacing w:before="120" w:after="120" w:line="312" w:lineRule="auto"/>
        <w:ind w:firstLine="720"/>
        <w:jc w:val="both"/>
        <w:rPr>
          <w:rFonts w:ascii="Times New Roman" w:hAnsi="Times New Roman" w:cs="Times New Roman"/>
          <w:sz w:val="26"/>
          <w:szCs w:val="26"/>
        </w:rPr>
      </w:pPr>
      <w:r w:rsidRPr="001D2F4A">
        <w:rPr>
          <w:rFonts w:ascii="Times New Roman" w:hAnsi="Times New Roman" w:cs="Times New Roman"/>
          <w:sz w:val="26"/>
          <w:szCs w:val="26"/>
        </w:rPr>
        <w:t xml:space="preserve">Lợi ích của việc sử dụng dịch vụ hậu cần chuỗi lạnh là chất lượng sản phẩm được duy trì trong khi tỷ lệ hư hỏng giảm, đặc biệt là đối với thịt, trái cây và rau quả, các sản phẩm hải sản, </w:t>
      </w:r>
      <w:r>
        <w:rPr>
          <w:rFonts w:ascii="Times New Roman" w:hAnsi="Times New Roman" w:cs="Times New Roman"/>
          <w:sz w:val="26"/>
          <w:szCs w:val="26"/>
        </w:rPr>
        <w:t>đồ ăn</w:t>
      </w:r>
      <w:r w:rsidRPr="001D2F4A">
        <w:rPr>
          <w:rFonts w:ascii="Times New Roman" w:hAnsi="Times New Roman" w:cs="Times New Roman"/>
          <w:sz w:val="26"/>
          <w:szCs w:val="26"/>
        </w:rPr>
        <w:t xml:space="preserve"> sẵn, đồ uống và các sản phẩm từ sữa. </w:t>
      </w:r>
    </w:p>
    <w:p w:rsidR="00F74E5E" w:rsidRDefault="00F74E5E" w:rsidP="00F74E5E">
      <w:pPr>
        <w:spacing w:before="120" w:after="120" w:line="312" w:lineRule="auto"/>
        <w:ind w:firstLine="720"/>
        <w:jc w:val="both"/>
        <w:rPr>
          <w:rFonts w:ascii="Times New Roman" w:hAnsi="Times New Roman" w:cs="Times New Roman"/>
          <w:sz w:val="26"/>
          <w:szCs w:val="26"/>
        </w:rPr>
      </w:pPr>
      <w:r w:rsidRPr="001D2F4A">
        <w:rPr>
          <w:rFonts w:ascii="Times New Roman" w:hAnsi="Times New Roman" w:cs="Times New Roman"/>
          <w:sz w:val="26"/>
          <w:szCs w:val="26"/>
        </w:rPr>
        <w:t>Nhu cầu ngày càng tăng của dịch vụ hậu cần chuỗi lạnh được phản ánh trong giá trị thị trường đã tăng lên 26 tỷ</w:t>
      </w:r>
      <w:r>
        <w:rPr>
          <w:rFonts w:ascii="Times New Roman" w:hAnsi="Times New Roman" w:cs="Times New Roman"/>
          <w:sz w:val="26"/>
          <w:szCs w:val="26"/>
        </w:rPr>
        <w:t xml:space="preserve"> baht, </w:t>
      </w:r>
      <w:r w:rsidRPr="001D2F4A">
        <w:rPr>
          <w:rFonts w:ascii="Times New Roman" w:hAnsi="Times New Roman" w:cs="Times New Roman"/>
          <w:sz w:val="26"/>
          <w:szCs w:val="26"/>
        </w:rPr>
        <w:t>chiếm 5% tổng thị trường hậu cần tăng</w:t>
      </w:r>
      <w:r>
        <w:rPr>
          <w:rFonts w:ascii="Times New Roman" w:hAnsi="Times New Roman" w:cs="Times New Roman"/>
          <w:sz w:val="26"/>
          <w:szCs w:val="26"/>
        </w:rPr>
        <w:t xml:space="preserve"> thái Lan, so với mức </w:t>
      </w:r>
      <w:r w:rsidRPr="001D2F4A">
        <w:rPr>
          <w:rFonts w:ascii="Times New Roman" w:hAnsi="Times New Roman" w:cs="Times New Roman"/>
          <w:sz w:val="26"/>
          <w:szCs w:val="26"/>
        </w:rPr>
        <w:t xml:space="preserve">2% trong năm 2017. </w:t>
      </w:r>
    </w:p>
    <w:p w:rsidR="00F74E5E" w:rsidRDefault="00F74E5E" w:rsidP="00F74E5E">
      <w:pPr>
        <w:spacing w:before="120" w:after="120" w:line="312" w:lineRule="auto"/>
        <w:ind w:firstLine="720"/>
        <w:jc w:val="both"/>
        <w:rPr>
          <w:rFonts w:ascii="Times New Roman" w:hAnsi="Times New Roman" w:cs="Times New Roman"/>
          <w:sz w:val="26"/>
          <w:szCs w:val="26"/>
        </w:rPr>
      </w:pPr>
      <w:r w:rsidRPr="001D2F4A">
        <w:rPr>
          <w:rFonts w:ascii="Times New Roman" w:hAnsi="Times New Roman" w:cs="Times New Roman"/>
          <w:sz w:val="26"/>
          <w:szCs w:val="26"/>
        </w:rPr>
        <w:t>Giá trị thị trường của dịch vụ hậu cần chuỗi lạnh cũng có khả năng tiếp tục tăng 8% CAGR trong ba năm tới (2019-2022) với các yếu tố hỗ trợ chính; sự tăng trưởng theo cấp số nhân của xuất khẩu trái cây sang Trung Quốc, xuất khẩu thủy sản</w:t>
      </w:r>
      <w:r>
        <w:rPr>
          <w:rFonts w:ascii="Times New Roman" w:hAnsi="Times New Roman" w:cs="Times New Roman"/>
          <w:sz w:val="26"/>
          <w:szCs w:val="26"/>
        </w:rPr>
        <w:t xml:space="preserve"> hồi phục</w:t>
      </w:r>
      <w:r w:rsidRPr="001D2F4A">
        <w:rPr>
          <w:rFonts w:ascii="Times New Roman" w:hAnsi="Times New Roman" w:cs="Times New Roman"/>
          <w:sz w:val="26"/>
          <w:szCs w:val="26"/>
        </w:rPr>
        <w:t xml:space="preserve"> sau khi</w:t>
      </w:r>
      <w:r>
        <w:rPr>
          <w:rFonts w:ascii="Times New Roman" w:hAnsi="Times New Roman" w:cs="Times New Roman"/>
          <w:sz w:val="26"/>
          <w:szCs w:val="26"/>
        </w:rPr>
        <w:t xml:space="preserve"> Thái Lan được EU</w:t>
      </w:r>
      <w:r w:rsidRPr="001D2F4A">
        <w:rPr>
          <w:rFonts w:ascii="Times New Roman" w:hAnsi="Times New Roman" w:cs="Times New Roman"/>
          <w:sz w:val="26"/>
          <w:szCs w:val="26"/>
        </w:rPr>
        <w:t xml:space="preserve"> rút thẻ vàng IUU Fishing, và sự mở rộng nhanh chóng về số lượng cửa hàng tiện lợi và chuỗi nhà hàng.</w:t>
      </w:r>
    </w:p>
    <w:p w:rsidR="001D2F4A" w:rsidRPr="001D2F4A" w:rsidRDefault="00C967FC" w:rsidP="00D4492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Tại Thái Lan, h</w:t>
      </w:r>
      <w:r w:rsidR="001D2F4A" w:rsidRPr="001D2F4A">
        <w:rPr>
          <w:rFonts w:ascii="Times New Roman" w:hAnsi="Times New Roman" w:cs="Times New Roman"/>
          <w:sz w:val="26"/>
          <w:szCs w:val="26"/>
        </w:rPr>
        <w:t xml:space="preserve">ậu cần chuỗi lạnh bao gồm hai hoạt động quan trọng được </w:t>
      </w:r>
      <w:proofErr w:type="gramStart"/>
      <w:r w:rsidR="001D2F4A" w:rsidRPr="001D2F4A">
        <w:rPr>
          <w:rFonts w:ascii="Times New Roman" w:hAnsi="Times New Roman" w:cs="Times New Roman"/>
          <w:sz w:val="26"/>
          <w:szCs w:val="26"/>
        </w:rPr>
        <w:t>kiểm</w:t>
      </w:r>
      <w:proofErr w:type="gramEnd"/>
      <w:r w:rsidR="001D2F4A" w:rsidRPr="001D2F4A">
        <w:rPr>
          <w:rFonts w:ascii="Times New Roman" w:hAnsi="Times New Roman" w:cs="Times New Roman"/>
          <w:sz w:val="26"/>
          <w:szCs w:val="26"/>
        </w:rPr>
        <w:t xml:space="preserve"> soát nhiệt độ: kho bãi và vận chuyển. </w:t>
      </w:r>
      <w:proofErr w:type="gramStart"/>
      <w:r w:rsidR="001D2F4A" w:rsidRPr="001D2F4A">
        <w:rPr>
          <w:rFonts w:ascii="Times New Roman" w:hAnsi="Times New Roman" w:cs="Times New Roman"/>
          <w:sz w:val="26"/>
          <w:szCs w:val="26"/>
        </w:rPr>
        <w:t>Trung bình, kho lưu trữ được kiểm soát nhiệt độ mang lại tỷ suất lợi nhuận gộp cao hơn so với vận chuyể</w:t>
      </w:r>
      <w:r w:rsidR="00D4492C">
        <w:rPr>
          <w:rFonts w:ascii="Times New Roman" w:hAnsi="Times New Roman" w:cs="Times New Roman"/>
          <w:sz w:val="26"/>
          <w:szCs w:val="26"/>
        </w:rPr>
        <w:t>n 15%.</w:t>
      </w:r>
      <w:proofErr w:type="gramEnd"/>
    </w:p>
    <w:p w:rsidR="00C967FC" w:rsidRDefault="004068A5" w:rsidP="00D4492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Phân khúc k</w:t>
      </w:r>
      <w:r w:rsidR="001D2F4A" w:rsidRPr="001D2F4A">
        <w:rPr>
          <w:rFonts w:ascii="Times New Roman" w:hAnsi="Times New Roman" w:cs="Times New Roman"/>
          <w:sz w:val="26"/>
          <w:szCs w:val="26"/>
        </w:rPr>
        <w:t xml:space="preserve">ho kiểm soát nhiệt độ trong dài hạn có biên lợi nhuận gộp cao ở mức 40% và có khả năng tăng dựa trên việc mở rộng nhu cầu và chi phí thuê cao hơn. Nói </w:t>
      </w:r>
      <w:proofErr w:type="gramStart"/>
      <w:r w:rsidR="001D2F4A" w:rsidRPr="001D2F4A">
        <w:rPr>
          <w:rFonts w:ascii="Times New Roman" w:hAnsi="Times New Roman" w:cs="Times New Roman"/>
          <w:sz w:val="26"/>
          <w:szCs w:val="26"/>
        </w:rPr>
        <w:t>chung</w:t>
      </w:r>
      <w:proofErr w:type="gramEnd"/>
      <w:r w:rsidR="001D2F4A" w:rsidRPr="001D2F4A">
        <w:rPr>
          <w:rFonts w:ascii="Times New Roman" w:hAnsi="Times New Roman" w:cs="Times New Roman"/>
          <w:sz w:val="26"/>
          <w:szCs w:val="26"/>
        </w:rPr>
        <w:t xml:space="preserve">, </w:t>
      </w:r>
      <w:r>
        <w:rPr>
          <w:rFonts w:ascii="Times New Roman" w:hAnsi="Times New Roman" w:cs="Times New Roman"/>
          <w:sz w:val="26"/>
          <w:szCs w:val="26"/>
        </w:rPr>
        <w:t>dịch vụ</w:t>
      </w:r>
      <w:r w:rsidR="001D2F4A" w:rsidRPr="001D2F4A">
        <w:rPr>
          <w:rFonts w:ascii="Times New Roman" w:hAnsi="Times New Roman" w:cs="Times New Roman"/>
          <w:sz w:val="26"/>
          <w:szCs w:val="26"/>
        </w:rPr>
        <w:t xml:space="preserve"> nhà kho kiểm soát nhiệt độ bao gồm hai loại: cho thuê dài hạn với một hợp đồng 3 năm hoặc lâu hơn và cho thuê kho tạm thờ</w:t>
      </w:r>
      <w:r>
        <w:rPr>
          <w:rFonts w:ascii="Times New Roman" w:hAnsi="Times New Roman" w:cs="Times New Roman"/>
          <w:sz w:val="26"/>
          <w:szCs w:val="26"/>
        </w:rPr>
        <w:t>i. Trong năm năm</w:t>
      </w:r>
      <w:r w:rsidR="001D2F4A" w:rsidRPr="001D2F4A">
        <w:rPr>
          <w:rFonts w:ascii="Times New Roman" w:hAnsi="Times New Roman" w:cs="Times New Roman"/>
          <w:sz w:val="26"/>
          <w:szCs w:val="26"/>
        </w:rPr>
        <w:t xml:space="preserve"> (2013-2017), kho kiểm soát nhiệt độ theo hợp đồng dài hạn có biên lợi nhuận gộp cao vào khoảng 40% với tỷ lệ tăng trưởng doanh thu khoảng 27%. Mặc dù doanh </w:t>
      </w:r>
      <w:proofErr w:type="gramStart"/>
      <w:r w:rsidR="001D2F4A" w:rsidRPr="001D2F4A">
        <w:rPr>
          <w:rFonts w:ascii="Times New Roman" w:hAnsi="Times New Roman" w:cs="Times New Roman"/>
          <w:sz w:val="26"/>
          <w:szCs w:val="26"/>
        </w:rPr>
        <w:t>thu</w:t>
      </w:r>
      <w:proofErr w:type="gramEnd"/>
      <w:r w:rsidR="001D2F4A" w:rsidRPr="001D2F4A">
        <w:rPr>
          <w:rFonts w:ascii="Times New Roman" w:hAnsi="Times New Roman" w:cs="Times New Roman"/>
          <w:sz w:val="26"/>
          <w:szCs w:val="26"/>
        </w:rPr>
        <w:t xml:space="preserve"> cho thuê tạm thời đã tăng ở mức 160%, tỷ suất lợi nhuận gộp thấp hơn chỉ khoảng 15%. Điều này là do chi phí </w:t>
      </w:r>
      <w:proofErr w:type="gramStart"/>
      <w:r w:rsidR="001D2F4A" w:rsidRPr="001D2F4A">
        <w:rPr>
          <w:rFonts w:ascii="Times New Roman" w:hAnsi="Times New Roman" w:cs="Times New Roman"/>
          <w:sz w:val="26"/>
          <w:szCs w:val="26"/>
        </w:rPr>
        <w:t>lao</w:t>
      </w:r>
      <w:proofErr w:type="gramEnd"/>
      <w:r w:rsidR="001D2F4A" w:rsidRPr="001D2F4A">
        <w:rPr>
          <w:rFonts w:ascii="Times New Roman" w:hAnsi="Times New Roman" w:cs="Times New Roman"/>
          <w:sz w:val="26"/>
          <w:szCs w:val="26"/>
        </w:rPr>
        <w:t xml:space="preserve"> động </w:t>
      </w:r>
      <w:r w:rsidR="00C967FC">
        <w:rPr>
          <w:rFonts w:ascii="Times New Roman" w:hAnsi="Times New Roman" w:cs="Times New Roman"/>
          <w:sz w:val="26"/>
          <w:szCs w:val="26"/>
        </w:rPr>
        <w:t xml:space="preserve">tại Thái Lan trong phân khúc này </w:t>
      </w:r>
      <w:r w:rsidR="001D2F4A" w:rsidRPr="001D2F4A">
        <w:rPr>
          <w:rFonts w:ascii="Times New Roman" w:hAnsi="Times New Roman" w:cs="Times New Roman"/>
          <w:sz w:val="26"/>
          <w:szCs w:val="26"/>
        </w:rPr>
        <w:t>cao hơn vì lao độ</w:t>
      </w:r>
      <w:r w:rsidR="00C967FC">
        <w:rPr>
          <w:rFonts w:ascii="Times New Roman" w:hAnsi="Times New Roman" w:cs="Times New Roman"/>
          <w:sz w:val="26"/>
          <w:szCs w:val="26"/>
        </w:rPr>
        <w:t>ng luôn</w:t>
      </w:r>
      <w:r w:rsidR="001D2F4A" w:rsidRPr="001D2F4A">
        <w:rPr>
          <w:rFonts w:ascii="Times New Roman" w:hAnsi="Times New Roman" w:cs="Times New Roman"/>
          <w:sz w:val="26"/>
          <w:szCs w:val="26"/>
        </w:rPr>
        <w:t xml:space="preserve"> được yêu cầu để phục vụ khách hàng </w:t>
      </w:r>
      <w:r w:rsidR="00C967FC">
        <w:rPr>
          <w:rFonts w:ascii="Times New Roman" w:hAnsi="Times New Roman" w:cs="Times New Roman"/>
          <w:sz w:val="26"/>
          <w:szCs w:val="26"/>
        </w:rPr>
        <w:t xml:space="preserve">với các </w:t>
      </w:r>
      <w:r w:rsidR="001D2F4A" w:rsidRPr="001D2F4A">
        <w:rPr>
          <w:rFonts w:ascii="Times New Roman" w:hAnsi="Times New Roman" w:cs="Times New Roman"/>
          <w:sz w:val="26"/>
          <w:szCs w:val="26"/>
        </w:rPr>
        <w:t xml:space="preserve">thông báo </w:t>
      </w:r>
      <w:r w:rsidR="00C967FC">
        <w:rPr>
          <w:rFonts w:ascii="Times New Roman" w:hAnsi="Times New Roman" w:cs="Times New Roman"/>
          <w:sz w:val="26"/>
          <w:szCs w:val="26"/>
        </w:rPr>
        <w:t>ngắn hạn nhưng liên tục.</w:t>
      </w:r>
    </w:p>
    <w:p w:rsidR="001D2F4A" w:rsidRPr="001D2F4A" w:rsidRDefault="001D2F4A" w:rsidP="00D4492C">
      <w:pPr>
        <w:spacing w:before="120" w:after="120" w:line="312" w:lineRule="auto"/>
        <w:ind w:firstLine="720"/>
        <w:jc w:val="both"/>
        <w:rPr>
          <w:rFonts w:ascii="Times New Roman" w:hAnsi="Times New Roman" w:cs="Times New Roman"/>
          <w:sz w:val="26"/>
          <w:szCs w:val="26"/>
        </w:rPr>
      </w:pPr>
      <w:r w:rsidRPr="001D2F4A">
        <w:rPr>
          <w:rFonts w:ascii="Times New Roman" w:hAnsi="Times New Roman" w:cs="Times New Roman"/>
          <w:sz w:val="26"/>
          <w:szCs w:val="26"/>
        </w:rPr>
        <w:t xml:space="preserve"> </w:t>
      </w:r>
      <w:proofErr w:type="gramStart"/>
      <w:r w:rsidRPr="001D2F4A">
        <w:rPr>
          <w:rFonts w:ascii="Times New Roman" w:hAnsi="Times New Roman" w:cs="Times New Roman"/>
          <w:sz w:val="26"/>
          <w:szCs w:val="26"/>
        </w:rPr>
        <w:t>Với các hợp đồng dài hạn, người thuê kho sẽ đầu tư vào máy móc và thiết bị cũng như thuê nhân viên của mình để hỗ trợ vận hành.</w:t>
      </w:r>
      <w:proofErr w:type="gramEnd"/>
      <w:r w:rsidRPr="001D2F4A">
        <w:rPr>
          <w:rFonts w:ascii="Times New Roman" w:hAnsi="Times New Roman" w:cs="Times New Roman"/>
          <w:sz w:val="26"/>
          <w:szCs w:val="26"/>
        </w:rPr>
        <w:t xml:space="preserve"> Do đó, chủ sở hữu một kho kiểm soát nhiệt độ đang </w:t>
      </w:r>
      <w:r w:rsidR="00C967FC">
        <w:rPr>
          <w:rFonts w:ascii="Times New Roman" w:hAnsi="Times New Roman" w:cs="Times New Roman"/>
          <w:sz w:val="26"/>
          <w:szCs w:val="26"/>
        </w:rPr>
        <w:t>có</w:t>
      </w:r>
      <w:r w:rsidRPr="001D2F4A">
        <w:rPr>
          <w:rFonts w:ascii="Times New Roman" w:hAnsi="Times New Roman" w:cs="Times New Roman"/>
          <w:sz w:val="26"/>
          <w:szCs w:val="26"/>
        </w:rPr>
        <w:t xml:space="preserve"> lợi thế về chi phí và quản lý không gian lưu kho. </w:t>
      </w:r>
      <w:r w:rsidRPr="001D2F4A">
        <w:rPr>
          <w:rFonts w:ascii="Times New Roman" w:hAnsi="Times New Roman" w:cs="Times New Roman"/>
          <w:sz w:val="26"/>
          <w:szCs w:val="26"/>
        </w:rPr>
        <w:lastRenderedPageBreak/>
        <w:t>Tuy nhiên, vẫn chỉ có một số lượng hạn chế các nhà cung cấp dịch vụ do đầu tư ban đầu cao và thời gian hoàn vố</w:t>
      </w:r>
      <w:r w:rsidR="00D4492C">
        <w:rPr>
          <w:rFonts w:ascii="Times New Roman" w:hAnsi="Times New Roman" w:cs="Times New Roman"/>
          <w:sz w:val="26"/>
          <w:szCs w:val="26"/>
        </w:rPr>
        <w:t>n dài.</w:t>
      </w:r>
    </w:p>
    <w:p w:rsidR="001D2F4A" w:rsidRDefault="00D4492C" w:rsidP="001D2F4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B</w:t>
      </w:r>
      <w:r w:rsidR="001D2F4A" w:rsidRPr="001D2F4A">
        <w:rPr>
          <w:rFonts w:ascii="Times New Roman" w:hAnsi="Times New Roman" w:cs="Times New Roman"/>
          <w:sz w:val="26"/>
          <w:szCs w:val="26"/>
        </w:rPr>
        <w:t>iên lợi nhuận gộp cho việc nhập kiểm soát nhiệt độ trong ngắn hạn để tăng do nhu cầu thị trường cao hơn và chi phí thuê cao hơn bình quân tăng 5% mỗi năm. Trong khi đó, chi phí điện, một chi phí trực tiếp quan trọng cho loại hình kinh doanh này, có khả năng tăng thêm một lượng nhỏ.</w:t>
      </w:r>
    </w:p>
    <w:p w:rsidR="00D4492C" w:rsidRPr="00D4492C" w:rsidRDefault="00D4492C" w:rsidP="001F7009">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 xml:space="preserve">Vận chuyển được kiểm soát nhiệt độ với các đối tác kinh doanh có tỷ suất lợi nhuận gộp là 24% nhưng có khả năng giảm do cạnh tranh về giá và rủi ro từ biến động giá dầu. </w:t>
      </w:r>
      <w:proofErr w:type="gramStart"/>
      <w:r w:rsidRPr="00D4492C">
        <w:rPr>
          <w:rFonts w:ascii="Times New Roman" w:hAnsi="Times New Roman" w:cs="Times New Roman"/>
          <w:sz w:val="26"/>
          <w:szCs w:val="26"/>
        </w:rPr>
        <w:t>Dịch vụ vận chuyển được kiểm soát nhiệt độ có thể được chia thành hai mẫu dựa trên khách hàng chính của họ.</w:t>
      </w:r>
      <w:proofErr w:type="gramEnd"/>
      <w:r w:rsidRPr="00D4492C">
        <w:rPr>
          <w:rFonts w:ascii="Times New Roman" w:hAnsi="Times New Roman" w:cs="Times New Roman"/>
          <w:sz w:val="26"/>
          <w:szCs w:val="26"/>
        </w:rPr>
        <w:t xml:space="preserve"> </w:t>
      </w:r>
      <w:proofErr w:type="gramStart"/>
      <w:r w:rsidRPr="00D4492C">
        <w:rPr>
          <w:rFonts w:ascii="Times New Roman" w:hAnsi="Times New Roman" w:cs="Times New Roman"/>
          <w:sz w:val="26"/>
          <w:szCs w:val="26"/>
        </w:rPr>
        <w:t>Họ hoặc tập trung vào việc cung cấp dịch vụ cho các đối tác kinh doanh của họ hoặc cho tất cả khách hàng.</w:t>
      </w:r>
      <w:proofErr w:type="gramEnd"/>
      <w:r w:rsidRPr="00D4492C">
        <w:rPr>
          <w:rFonts w:ascii="Times New Roman" w:hAnsi="Times New Roman" w:cs="Times New Roman"/>
          <w:sz w:val="26"/>
          <w:szCs w:val="26"/>
        </w:rPr>
        <w:t xml:space="preserve"> </w:t>
      </w:r>
      <w:proofErr w:type="gramStart"/>
      <w:r w:rsidRPr="00D4492C">
        <w:rPr>
          <w:rFonts w:ascii="Times New Roman" w:hAnsi="Times New Roman" w:cs="Times New Roman"/>
          <w:sz w:val="26"/>
          <w:szCs w:val="26"/>
        </w:rPr>
        <w:t>Kinh doanh với các đối tác sở hữu tỷ suất lợi nhuận gộp ở mức 24%, cao hơn so với những doanh nghiệp cung cấp dịch vụ cho tất cả các khách hàng có tỷ suất lợi nhuận gộp ở mức 6%.</w:t>
      </w:r>
      <w:proofErr w:type="gramEnd"/>
      <w:r w:rsidRPr="00D4492C">
        <w:rPr>
          <w:rFonts w:ascii="Times New Roman" w:hAnsi="Times New Roman" w:cs="Times New Roman"/>
          <w:sz w:val="26"/>
          <w:szCs w:val="26"/>
        </w:rPr>
        <w:t xml:space="preserve"> Điều này là do sự hợp tác, cho dù dưới hình thức liên doanh hoặc hợp tác phát triển mạng lưới giao thông, cho phép doanh nghiệp quản lý các tuyến vận tải của họ một cách hiệu quả dẫn đến chi phí vận hành thấ</w:t>
      </w:r>
      <w:r w:rsidR="001F7009">
        <w:rPr>
          <w:rFonts w:ascii="Times New Roman" w:hAnsi="Times New Roman" w:cs="Times New Roman"/>
          <w:sz w:val="26"/>
          <w:szCs w:val="26"/>
        </w:rPr>
        <w:t>p hơn.</w:t>
      </w:r>
    </w:p>
    <w:p w:rsidR="00D4492C" w:rsidRDefault="00D4492C" w:rsidP="00D4492C">
      <w:pPr>
        <w:spacing w:before="120" w:after="120" w:line="312" w:lineRule="auto"/>
        <w:ind w:firstLine="720"/>
        <w:jc w:val="both"/>
        <w:rPr>
          <w:rFonts w:ascii="Times New Roman" w:hAnsi="Times New Roman" w:cs="Times New Roman"/>
          <w:sz w:val="26"/>
          <w:szCs w:val="26"/>
        </w:rPr>
      </w:pPr>
      <w:proofErr w:type="gramStart"/>
      <w:r w:rsidRPr="00D4492C">
        <w:rPr>
          <w:rFonts w:ascii="Times New Roman" w:hAnsi="Times New Roman" w:cs="Times New Roman"/>
          <w:sz w:val="26"/>
          <w:szCs w:val="26"/>
        </w:rPr>
        <w:t>Tuy nhiên, một biên lợi nhuận gộp về giao thông kiểm soát nhiệt độ có khả năng giảm trong tương lai.</w:t>
      </w:r>
      <w:proofErr w:type="gramEnd"/>
      <w:r w:rsidRPr="00D4492C">
        <w:rPr>
          <w:rFonts w:ascii="Times New Roman" w:hAnsi="Times New Roman" w:cs="Times New Roman"/>
          <w:sz w:val="26"/>
          <w:szCs w:val="26"/>
        </w:rPr>
        <w:t xml:space="preserve"> Điều này là do rào cản thấp đối với bản chất gia nhập của doanh nghiệp nơi người chơi mới không cần một khoản đầu tư lớn và hợp đồng vận chuyển thường được đàm phán hàng năm. Với sự gia tăng của những người tham gia, do đó, các nhà cung cấp dịch vụ có thể phải đối mặt với sự cạnh tranh ngày càng tăng về giá cả và dịch vụ. </w:t>
      </w:r>
      <w:proofErr w:type="gramStart"/>
      <w:r w:rsidRPr="00D4492C">
        <w:rPr>
          <w:rFonts w:ascii="Times New Roman" w:hAnsi="Times New Roman" w:cs="Times New Roman"/>
          <w:sz w:val="26"/>
          <w:szCs w:val="26"/>
        </w:rPr>
        <w:t>Đồng thời, các nhà cung cấp dịch vụ cũng phải đối mặt với sự biến động của giá dầu vì nó chiếm 30% - 40% tổng chi phí.</w:t>
      </w:r>
      <w:proofErr w:type="gramEnd"/>
    </w:p>
    <w:p w:rsidR="00D4492C" w:rsidRPr="00D4492C" w:rsidRDefault="00D4492C" w:rsidP="00D4492C">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w:t>
      </w:r>
      <w:r w:rsidRPr="00D4492C">
        <w:rPr>
          <w:rFonts w:ascii="Times New Roman" w:hAnsi="Times New Roman" w:cs="Times New Roman"/>
          <w:sz w:val="26"/>
          <w:szCs w:val="26"/>
        </w:rPr>
        <w:t>ham gia vào một quan hệ đối tác kinh doanh và ký hợp đồng dài hạn là hai chiến lược quan trọng hướng tới sự thành công của dịch vụ kho bãi và vận chuyển được kiểm soát nhiệt độ.</w:t>
      </w:r>
      <w:proofErr w:type="gramEnd"/>
      <w:r w:rsidRPr="00D4492C">
        <w:rPr>
          <w:rFonts w:ascii="Times New Roman" w:hAnsi="Times New Roman" w:cs="Times New Roman"/>
          <w:sz w:val="26"/>
          <w:szCs w:val="26"/>
        </w:rPr>
        <w:t xml:space="preserve"> Từ phân tích trước đó, có thể lập luận rằng việc hình thành mối quan hệ hợp tác với các nhà sản xuất sản phẩm, nhà bán lẻ hàng đầu và chuỗi nhà hàng có thể giúp doanh nghiệp phát triển mối quan hệ hiệu quả với khách hàng và duy trì dòng doanh thu ổn định. </w:t>
      </w:r>
      <w:proofErr w:type="gramStart"/>
      <w:r w:rsidRPr="00D4492C">
        <w:rPr>
          <w:rFonts w:ascii="Times New Roman" w:hAnsi="Times New Roman" w:cs="Times New Roman"/>
          <w:sz w:val="26"/>
          <w:szCs w:val="26"/>
        </w:rPr>
        <w:t>Quan hệ đối tác thường được phát triển dưới hình thức liên doanh hoặc hợp tác phát triển trong mạng lưới dịch vụ tích hợp có thể đáp ứng các yêu cầu dịch vụ khác nhau.</w:t>
      </w:r>
      <w:proofErr w:type="gramEnd"/>
      <w:r w:rsidRPr="00D4492C">
        <w:rPr>
          <w:rFonts w:ascii="Times New Roman" w:hAnsi="Times New Roman" w:cs="Times New Roman"/>
          <w:sz w:val="26"/>
          <w:szCs w:val="26"/>
        </w:rPr>
        <w:t xml:space="preserve"> Ngoài ra, ký hợp đồng dài </w:t>
      </w:r>
      <w:r w:rsidRPr="00D4492C">
        <w:rPr>
          <w:rFonts w:ascii="Times New Roman" w:hAnsi="Times New Roman" w:cs="Times New Roman"/>
          <w:sz w:val="26"/>
          <w:szCs w:val="26"/>
        </w:rPr>
        <w:lastRenderedPageBreak/>
        <w:t>hạn có thời hạn 3 năm hoặc dài hơn cũng là một yếu tố thành công quan trọng khác vì nó cho phép doanh nghiệp phát triển một chiến lược hiệu quả để có được lợi nhuận hiệu quả cao hơn và hiệu quả chi phí tối đa, cũng như tối ưu hóa việc sử dụng kho và xe tả</w:t>
      </w:r>
      <w:r>
        <w:rPr>
          <w:rFonts w:ascii="Times New Roman" w:hAnsi="Times New Roman" w:cs="Times New Roman"/>
          <w:sz w:val="26"/>
          <w:szCs w:val="26"/>
        </w:rPr>
        <w:t>i.</w:t>
      </w:r>
    </w:p>
    <w:p w:rsidR="00F74E5E" w:rsidRDefault="00D4492C" w:rsidP="00D4492C">
      <w:pPr>
        <w:spacing w:before="120" w:after="120" w:line="312" w:lineRule="auto"/>
        <w:ind w:firstLine="720"/>
        <w:jc w:val="both"/>
        <w:rPr>
          <w:rFonts w:ascii="Times New Roman" w:hAnsi="Times New Roman" w:cs="Times New Roman"/>
          <w:sz w:val="26"/>
          <w:szCs w:val="26"/>
        </w:rPr>
      </w:pPr>
      <w:proofErr w:type="gramStart"/>
      <w:r w:rsidRPr="00D4492C">
        <w:rPr>
          <w:rFonts w:ascii="Times New Roman" w:hAnsi="Times New Roman" w:cs="Times New Roman"/>
          <w:sz w:val="26"/>
          <w:szCs w:val="26"/>
        </w:rPr>
        <w:t>Ngày nay, các doanh nghiệp thực phẩm và đồ uống đang ngày càng sử dụng các nhà cung cấp dịch vụ hậu cần chuỗi lạnh đại diện cho một cơ hội đáng kể cho những người mới tham gia.</w:t>
      </w:r>
      <w:proofErr w:type="gramEnd"/>
      <w:r w:rsidRPr="00D4492C">
        <w:rPr>
          <w:rFonts w:ascii="Times New Roman" w:hAnsi="Times New Roman" w:cs="Times New Roman"/>
          <w:sz w:val="26"/>
          <w:szCs w:val="26"/>
        </w:rPr>
        <w:t xml:space="preserve"> </w:t>
      </w:r>
      <w:proofErr w:type="gramStart"/>
      <w:r w:rsidRPr="00D4492C">
        <w:rPr>
          <w:rFonts w:ascii="Times New Roman" w:hAnsi="Times New Roman" w:cs="Times New Roman"/>
          <w:sz w:val="26"/>
          <w:szCs w:val="26"/>
        </w:rPr>
        <w:t>Thông thường, chi phí hậu cần cho kinh doanh thực phẩm và đồ uống chiếm 10% tổng chi phí bán hàng.</w:t>
      </w:r>
      <w:proofErr w:type="gramEnd"/>
      <w:r w:rsidRPr="00D4492C">
        <w:rPr>
          <w:rFonts w:ascii="Times New Roman" w:hAnsi="Times New Roman" w:cs="Times New Roman"/>
          <w:sz w:val="26"/>
          <w:szCs w:val="26"/>
        </w:rPr>
        <w:t xml:space="preserve"> Một khi hậu cần chuỗi lạnh trở nên cần thiết hơn cũng như đòi hỏi chuyên môn hóa các chuyên gia chuỗi lạnh và đầu tư vốn cao (ví dụ: xây dựng kho, phương tiện vận tải và hệ thống CNTT), kinh doanh thực phẩm và đồ uống có xu hướng sử dụng các nhà cung cấp dịch vụ hậu cần chuyên về chuỗi lạnh thay vì hơn là điều hành riêng của họ. </w:t>
      </w:r>
    </w:p>
    <w:p w:rsidR="00F74E5E" w:rsidRDefault="00D4492C" w:rsidP="00D4492C">
      <w:pPr>
        <w:spacing w:before="120" w:after="120" w:line="312" w:lineRule="auto"/>
        <w:ind w:firstLine="720"/>
        <w:jc w:val="both"/>
        <w:rPr>
          <w:rFonts w:ascii="Times New Roman" w:hAnsi="Times New Roman" w:cs="Times New Roman"/>
          <w:sz w:val="26"/>
          <w:szCs w:val="26"/>
        </w:rPr>
      </w:pPr>
      <w:proofErr w:type="gramStart"/>
      <w:r w:rsidRPr="00D4492C">
        <w:rPr>
          <w:rFonts w:ascii="Times New Roman" w:hAnsi="Times New Roman" w:cs="Times New Roman"/>
          <w:sz w:val="26"/>
          <w:szCs w:val="26"/>
        </w:rPr>
        <w:t>Các nhà cung cấp dịch vụ hậu cần này sẽ giúp doanh nghiệp giảm quá trình làm việc và chi phí hậu cần.</w:t>
      </w:r>
      <w:proofErr w:type="gramEnd"/>
      <w:r w:rsidRPr="00D4492C">
        <w:rPr>
          <w:rFonts w:ascii="Times New Roman" w:hAnsi="Times New Roman" w:cs="Times New Roman"/>
          <w:sz w:val="26"/>
          <w:szCs w:val="26"/>
        </w:rPr>
        <w:t xml:space="preserve"> Hậu cần chuỗi lạnh được tìm thấy dưới hai hình thức là </w:t>
      </w:r>
    </w:p>
    <w:p w:rsidR="00F74E5E" w:rsidRDefault="00D4492C" w:rsidP="00D4492C">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 xml:space="preserve">1) Các nhà cung cấp dịch vụ hậu cần và kinh doanh thực phẩm và đồ uống thiết lập quan hệ đối tác kinh doanh ở cấp độ hợp tác cung cấp giải pháp hậu cần chuỗi lạnh hoàn chỉnh cho doanh nghiệp và mở rộng sang các doanh nghiệp tương tự khác và </w:t>
      </w:r>
    </w:p>
    <w:p w:rsidR="00F74E5E" w:rsidRDefault="00D4492C" w:rsidP="00D4492C">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 xml:space="preserve">2) Kinh doanh thực phẩm và đồ uống nhà cung cấp dịch vụ hậu cần chuỗi lạnh. </w:t>
      </w:r>
    </w:p>
    <w:p w:rsidR="00D4492C" w:rsidRDefault="00D4492C" w:rsidP="00D4492C">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Cả hai loại hình thức dịch vụ hậu cần chuỗi lạnh</w:t>
      </w:r>
      <w:r w:rsidR="00C967FC">
        <w:rPr>
          <w:rFonts w:ascii="Times New Roman" w:hAnsi="Times New Roman" w:cs="Times New Roman"/>
          <w:sz w:val="26"/>
          <w:szCs w:val="26"/>
        </w:rPr>
        <w:t xml:space="preserve"> tại Thái </w:t>
      </w:r>
      <w:proofErr w:type="gramStart"/>
      <w:r w:rsidR="00C967FC">
        <w:rPr>
          <w:rFonts w:ascii="Times New Roman" w:hAnsi="Times New Roman" w:cs="Times New Roman"/>
          <w:sz w:val="26"/>
          <w:szCs w:val="26"/>
        </w:rPr>
        <w:t>Lan</w:t>
      </w:r>
      <w:proofErr w:type="gramEnd"/>
      <w:r w:rsidRPr="00D4492C">
        <w:rPr>
          <w:rFonts w:ascii="Times New Roman" w:hAnsi="Times New Roman" w:cs="Times New Roman"/>
          <w:sz w:val="26"/>
          <w:szCs w:val="26"/>
        </w:rPr>
        <w:t xml:space="preserve"> đề</w:t>
      </w:r>
      <w:r w:rsidR="00C967FC">
        <w:rPr>
          <w:rFonts w:ascii="Times New Roman" w:hAnsi="Times New Roman" w:cs="Times New Roman"/>
          <w:sz w:val="26"/>
          <w:szCs w:val="26"/>
        </w:rPr>
        <w:t>u mang lại</w:t>
      </w:r>
      <w:r w:rsidRPr="00D4492C">
        <w:rPr>
          <w:rFonts w:ascii="Times New Roman" w:hAnsi="Times New Roman" w:cs="Times New Roman"/>
          <w:sz w:val="26"/>
          <w:szCs w:val="26"/>
        </w:rPr>
        <w:t xml:space="preserve"> những cơ hội quan trọng cho cả nhà cung cấp dịch vụ hậu cần hiện tại và nhà cung cấp dịch vụ tiềm năng tham gia kinh doanh dịch vụ hậu cần chuỗi lạnh.</w:t>
      </w:r>
    </w:p>
    <w:p w:rsidR="001F7009" w:rsidRDefault="001F7009" w:rsidP="001F7009">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 xml:space="preserve">Tuy nhiên, </w:t>
      </w:r>
      <w:r>
        <w:rPr>
          <w:rFonts w:ascii="Times New Roman" w:hAnsi="Times New Roman" w:cs="Times New Roman"/>
          <w:sz w:val="26"/>
          <w:szCs w:val="26"/>
        </w:rPr>
        <w:t xml:space="preserve">theo các chuyên gia logistics, </w:t>
      </w:r>
      <w:r w:rsidRPr="00D4492C">
        <w:rPr>
          <w:rFonts w:ascii="Times New Roman" w:hAnsi="Times New Roman" w:cs="Times New Roman"/>
          <w:sz w:val="26"/>
          <w:szCs w:val="26"/>
        </w:rPr>
        <w:t>có ba thách thức quan trọng đối với các nhà cung cấp dịch vụ chuỗi lạnh mới</w:t>
      </w:r>
      <w:r>
        <w:rPr>
          <w:rFonts w:ascii="Times New Roman" w:hAnsi="Times New Roman" w:cs="Times New Roman"/>
          <w:sz w:val="26"/>
          <w:szCs w:val="26"/>
        </w:rPr>
        <w:t xml:space="preserve"> tại Thái Lan, đó là</w:t>
      </w:r>
      <w:r w:rsidRPr="00D4492C">
        <w:rPr>
          <w:rFonts w:ascii="Times New Roman" w:hAnsi="Times New Roman" w:cs="Times New Roman"/>
          <w:sz w:val="26"/>
          <w:szCs w:val="26"/>
        </w:rPr>
        <w:t xml:space="preserve"> mức nhiệt độ khác nhau cần thiết cho các sản phẩm khác nhau, cạnh tranh khốc liệt </w:t>
      </w:r>
      <w:r>
        <w:rPr>
          <w:rFonts w:ascii="Times New Roman" w:hAnsi="Times New Roman" w:cs="Times New Roman"/>
          <w:sz w:val="26"/>
          <w:szCs w:val="26"/>
        </w:rPr>
        <w:t xml:space="preserve">trên thị trường này </w:t>
      </w:r>
      <w:r w:rsidRPr="00D4492C">
        <w:rPr>
          <w:rFonts w:ascii="Times New Roman" w:hAnsi="Times New Roman" w:cs="Times New Roman"/>
          <w:sz w:val="26"/>
          <w:szCs w:val="26"/>
        </w:rPr>
        <w:t>và các quy định nghiêm ngặt hơn</w:t>
      </w:r>
      <w:r>
        <w:rPr>
          <w:rFonts w:ascii="Times New Roman" w:hAnsi="Times New Roman" w:cs="Times New Roman"/>
          <w:sz w:val="26"/>
          <w:szCs w:val="26"/>
        </w:rPr>
        <w:t xml:space="preserve"> từ cả phía Thái Lan và các nước bạn hàng.</w:t>
      </w:r>
    </w:p>
    <w:p w:rsidR="001F7009" w:rsidRDefault="001F7009" w:rsidP="001F7009">
      <w:pPr>
        <w:spacing w:before="120" w:after="120" w:line="312" w:lineRule="auto"/>
        <w:ind w:firstLine="720"/>
        <w:jc w:val="both"/>
        <w:rPr>
          <w:rFonts w:ascii="Times New Roman" w:hAnsi="Times New Roman" w:cs="Times New Roman"/>
          <w:sz w:val="26"/>
          <w:szCs w:val="26"/>
        </w:rPr>
      </w:pPr>
      <w:proofErr w:type="gramStart"/>
      <w:r w:rsidRPr="00D4492C">
        <w:rPr>
          <w:rFonts w:ascii="Times New Roman" w:hAnsi="Times New Roman" w:cs="Times New Roman"/>
          <w:sz w:val="26"/>
          <w:szCs w:val="26"/>
        </w:rPr>
        <w:t>Kinh doanh dịch vụ hậu cần chuỗi lạnh có tiềm năng phát triển hơn nữa trong khi hiện tại có một số lượng hạn chế các nhà cung cấp dịch vụ được chứng nhận tiêu chuẩn quốc tế.</w:t>
      </w:r>
      <w:proofErr w:type="gramEnd"/>
      <w:r w:rsidRPr="00D4492C">
        <w:rPr>
          <w:rFonts w:ascii="Times New Roman" w:hAnsi="Times New Roman" w:cs="Times New Roman"/>
          <w:sz w:val="26"/>
          <w:szCs w:val="26"/>
        </w:rPr>
        <w:t xml:space="preserve"> Do đó, hậu cần chuỗi lạnh là cơ hội hấp dẫn cho nhà cung </w:t>
      </w:r>
      <w:r w:rsidRPr="00D4492C">
        <w:rPr>
          <w:rFonts w:ascii="Times New Roman" w:hAnsi="Times New Roman" w:cs="Times New Roman"/>
          <w:sz w:val="26"/>
          <w:szCs w:val="26"/>
        </w:rPr>
        <w:lastRenderedPageBreak/>
        <w:t>cấp dịch vụ hậu cần hiện tại và nhà cung cấp dịch vụ tiềm năng để mở rộng kinh doanh. Tuy nhiên, cũng có những thách thức quan trọng để</w:t>
      </w:r>
      <w:r w:rsidR="00F74E5E">
        <w:rPr>
          <w:rFonts w:ascii="Times New Roman" w:hAnsi="Times New Roman" w:cs="Times New Roman"/>
          <w:sz w:val="26"/>
          <w:szCs w:val="26"/>
        </w:rPr>
        <w:t xml:space="preserve"> xem xét đó là:</w:t>
      </w:r>
    </w:p>
    <w:p w:rsidR="001F7009" w:rsidRDefault="001F7009" w:rsidP="001F7009">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 xml:space="preserve">1) Các mức nhiệt độ khác nhau cần thiết để vận chuyển và lưu trữ các sản phẩm khác nhau </w:t>
      </w:r>
      <w:proofErr w:type="gramStart"/>
      <w:r w:rsidRPr="00D4492C">
        <w:rPr>
          <w:rFonts w:ascii="Times New Roman" w:hAnsi="Times New Roman" w:cs="Times New Roman"/>
          <w:sz w:val="26"/>
          <w:szCs w:val="26"/>
        </w:rPr>
        <w:t>theo</w:t>
      </w:r>
      <w:proofErr w:type="gramEnd"/>
      <w:r w:rsidRPr="00D4492C">
        <w:rPr>
          <w:rFonts w:ascii="Times New Roman" w:hAnsi="Times New Roman" w:cs="Times New Roman"/>
          <w:sz w:val="26"/>
          <w:szCs w:val="26"/>
        </w:rPr>
        <w:t xml:space="preserve"> tiêu chuẩn của Cục Quản lý Thực phẩm và Dược phẩm Thái Lan và các cơ quan liên quan. Các nhà cung cấp dịch vụ hậu cần chuỗi lạnh tiềm năng cần làm rõ một sản phẩm tập trung và xin giấy phép vì sẽ khó thay đổi sản phẩm với các yêu cầ</w:t>
      </w:r>
      <w:r>
        <w:rPr>
          <w:rFonts w:ascii="Times New Roman" w:hAnsi="Times New Roman" w:cs="Times New Roman"/>
          <w:sz w:val="26"/>
          <w:szCs w:val="26"/>
        </w:rPr>
        <w:t>u khác nhau;</w:t>
      </w:r>
    </w:p>
    <w:p w:rsidR="001F7009" w:rsidRDefault="001F7009" w:rsidP="001F7009">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2) Cạnh tranh sẽ trở nên gay gắt hơn trong một thời gian dài vì một số doanh nghiệp thực phẩm và đồ uống đã thiết lập mối quan hệ chính thức tại mức độ hợp tác để cung cấp một giải pháp hậu cần chuỗi lạnh hoàn chỉnh nhằm mở rộng trong tương lai. Do đó, các nhà cung cấp dịch vụ hậu cần không có giải pháp chuỗi lạnh và nhà cung cấp dịch vụ tiềm năng sẽ phải đối mặt với sự cạnh tranh gay gắ</w:t>
      </w:r>
      <w:r>
        <w:rPr>
          <w:rFonts w:ascii="Times New Roman" w:hAnsi="Times New Roman" w:cs="Times New Roman"/>
          <w:sz w:val="26"/>
          <w:szCs w:val="26"/>
        </w:rPr>
        <w:t>t;</w:t>
      </w:r>
    </w:p>
    <w:p w:rsidR="001F7009" w:rsidRDefault="001F7009" w:rsidP="001F7009">
      <w:pPr>
        <w:spacing w:before="120" w:after="120" w:line="312" w:lineRule="auto"/>
        <w:ind w:firstLine="720"/>
        <w:jc w:val="both"/>
        <w:rPr>
          <w:rFonts w:ascii="Times New Roman" w:hAnsi="Times New Roman" w:cs="Times New Roman"/>
          <w:sz w:val="26"/>
          <w:szCs w:val="26"/>
        </w:rPr>
      </w:pPr>
      <w:r w:rsidRPr="00D4492C">
        <w:rPr>
          <w:rFonts w:ascii="Times New Roman" w:hAnsi="Times New Roman" w:cs="Times New Roman"/>
          <w:sz w:val="26"/>
          <w:szCs w:val="26"/>
        </w:rPr>
        <w:t>3) Các quy định liên quan đến môi trường và vệ sinh đang trở nên nghiêm ngặt hơn ở nhiều quốc gia, như yêu cầu ghi nhãn RFID ở Mỹ để người tiêu dùng theo dõi nhiệt độ và việc thực thi Thực hành phân phối tốt cho các nhà cung cấp dịch vụ hậu cần chuỗi lạnh ở EU sẽ tạo thêm chi phí cho các nhà cung cấp dịch vụ hậu cần. Ngoài ra, họ cũng có thể phải đối mặt với các rủi ro liên quan đến thương mại khác đối với các sản phẩm cần hậu cần chuỗi lạnh, ví dụ, các hạn chế nhập khẩu đối với các sản phẩm trồng trọt được Indonesia áp dụng đã ảnh hưởng đến xuất khẩu nông sản của Thái Lan.</w:t>
      </w:r>
    </w:p>
    <w:p w:rsidR="00B360F6" w:rsidRPr="00B360F6" w:rsidRDefault="001F7009" w:rsidP="00B360F6">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6" w:name="_Toc10108634"/>
      <w:r>
        <w:rPr>
          <w:rFonts w:ascii="Times New Roman" w:hAnsi="Times New Roman" w:cs="Times New Roman"/>
          <w:b/>
          <w:i/>
          <w:sz w:val="26"/>
          <w:szCs w:val="26"/>
        </w:rPr>
        <w:t>Các hãng hàng không giá rẻ có nhiều cơ hội ở t</w:t>
      </w:r>
      <w:r w:rsidR="007935F1">
        <w:rPr>
          <w:rFonts w:ascii="Times New Roman" w:hAnsi="Times New Roman" w:cs="Times New Roman"/>
          <w:b/>
          <w:i/>
          <w:sz w:val="26"/>
          <w:szCs w:val="26"/>
        </w:rPr>
        <w:t>hị trường hàng không Thái Lan</w:t>
      </w:r>
      <w:bookmarkEnd w:id="16"/>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Thái Lan là một trong những điểm du lịch nổi tiếng nhất đối với người Úc, tạo ra hơn 800.000 du khách và 1,6 triệu hành khách mỗi năm. Tuy nhiên, việc cắt giảm sức tải của Thai Airways và việc đình chỉ các dịch vụ Sydney-Bangkok của Emirates đang khiến công suất ghế giảm 30% tại thị trườ</w:t>
      </w:r>
      <w:r>
        <w:rPr>
          <w:rFonts w:ascii="Times New Roman" w:hAnsi="Times New Roman" w:cs="Times New Roman"/>
          <w:sz w:val="26"/>
          <w:szCs w:val="26"/>
        </w:rPr>
        <w:t>ng Úc-Thái Lan.</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 xml:space="preserve">AirAsia đã </w:t>
      </w:r>
      <w:r>
        <w:rPr>
          <w:rFonts w:ascii="Times New Roman" w:hAnsi="Times New Roman" w:cs="Times New Roman"/>
          <w:sz w:val="26"/>
          <w:szCs w:val="26"/>
        </w:rPr>
        <w:t>tận dụng</w:t>
      </w:r>
      <w:r w:rsidRPr="007935F1">
        <w:rPr>
          <w:rFonts w:ascii="Times New Roman" w:hAnsi="Times New Roman" w:cs="Times New Roman"/>
          <w:sz w:val="26"/>
          <w:szCs w:val="26"/>
        </w:rPr>
        <w:t xml:space="preserve"> cơ hội này và đang triển khai dịch vụ bay thẳng đầu tiên giữa Úc và Thái </w:t>
      </w:r>
      <w:proofErr w:type="gramStart"/>
      <w:r w:rsidRPr="007935F1">
        <w:rPr>
          <w:rFonts w:ascii="Times New Roman" w:hAnsi="Times New Roman" w:cs="Times New Roman"/>
          <w:sz w:val="26"/>
          <w:szCs w:val="26"/>
        </w:rPr>
        <w:t>Lan</w:t>
      </w:r>
      <w:proofErr w:type="gramEnd"/>
      <w:r w:rsidRPr="007935F1">
        <w:rPr>
          <w:rFonts w:ascii="Times New Roman" w:hAnsi="Times New Roman" w:cs="Times New Roman"/>
          <w:sz w:val="26"/>
          <w:szCs w:val="26"/>
        </w:rPr>
        <w:t>. Thai AirAsia X sẽ cạnh tranh với Thai Airways trên tuyến Brisbane-Bangkok từ ngày 25 tháng 6</w:t>
      </w:r>
      <w:r w:rsidR="00C967FC">
        <w:rPr>
          <w:rFonts w:ascii="Times New Roman" w:hAnsi="Times New Roman" w:cs="Times New Roman"/>
          <w:sz w:val="26"/>
          <w:szCs w:val="26"/>
        </w:rPr>
        <w:t xml:space="preserve"> năm 2019, khi hãng</w:t>
      </w:r>
      <w:r w:rsidRPr="007935F1">
        <w:rPr>
          <w:rFonts w:ascii="Times New Roman" w:hAnsi="Times New Roman" w:cs="Times New Roman"/>
          <w:sz w:val="26"/>
          <w:szCs w:val="26"/>
        </w:rPr>
        <w:t xml:space="preserve"> triển khai bốn </w:t>
      </w:r>
      <w:r w:rsidRPr="007935F1">
        <w:rPr>
          <w:rFonts w:ascii="Times New Roman" w:hAnsi="Times New Roman" w:cs="Times New Roman"/>
          <w:sz w:val="26"/>
          <w:szCs w:val="26"/>
        </w:rPr>
        <w:lastRenderedPageBreak/>
        <w:t>chuyến bay hàng tuần và có thể thêm nhiều tuyến Úc-Thái Lan vào cuố</w:t>
      </w:r>
      <w:r>
        <w:rPr>
          <w:rFonts w:ascii="Times New Roman" w:hAnsi="Times New Roman" w:cs="Times New Roman"/>
          <w:sz w:val="26"/>
          <w:szCs w:val="26"/>
        </w:rPr>
        <w:t>i năm 2019.</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Vận chuyển hàng không giá rẻ (</w:t>
      </w:r>
      <w:r w:rsidRPr="007935F1">
        <w:rPr>
          <w:rFonts w:ascii="Times New Roman" w:hAnsi="Times New Roman" w:cs="Times New Roman"/>
          <w:sz w:val="26"/>
          <w:szCs w:val="26"/>
        </w:rPr>
        <w:t>LCC</w:t>
      </w:r>
      <w:r>
        <w:rPr>
          <w:rFonts w:ascii="Times New Roman" w:hAnsi="Times New Roman" w:cs="Times New Roman"/>
          <w:sz w:val="26"/>
          <w:szCs w:val="26"/>
        </w:rPr>
        <w:t>)</w:t>
      </w:r>
      <w:r w:rsidRPr="007935F1">
        <w:rPr>
          <w:rFonts w:ascii="Times New Roman" w:hAnsi="Times New Roman" w:cs="Times New Roman"/>
          <w:sz w:val="26"/>
          <w:szCs w:val="26"/>
        </w:rPr>
        <w:t xml:space="preserve"> đường dài được định vị tốt, do thị trường Úc-Thái Lan bao gồm chủ yếu là hành khách </w:t>
      </w:r>
      <w:r w:rsidR="00C967FC">
        <w:rPr>
          <w:rFonts w:ascii="Times New Roman" w:hAnsi="Times New Roman" w:cs="Times New Roman"/>
          <w:sz w:val="26"/>
          <w:szCs w:val="26"/>
        </w:rPr>
        <w:t>rất</w:t>
      </w:r>
      <w:r w:rsidRPr="007935F1">
        <w:rPr>
          <w:rFonts w:ascii="Times New Roman" w:hAnsi="Times New Roman" w:cs="Times New Roman"/>
          <w:sz w:val="26"/>
          <w:szCs w:val="26"/>
        </w:rPr>
        <w:t xml:space="preserve"> nhạy cảm về giá. </w:t>
      </w:r>
      <w:proofErr w:type="gramStart"/>
      <w:r w:rsidRPr="007935F1">
        <w:rPr>
          <w:rFonts w:ascii="Times New Roman" w:hAnsi="Times New Roman" w:cs="Times New Roman"/>
          <w:sz w:val="26"/>
          <w:szCs w:val="26"/>
        </w:rPr>
        <w:t xml:space="preserve">Jetstar đã </w:t>
      </w:r>
      <w:r w:rsidR="00C967FC">
        <w:rPr>
          <w:rFonts w:ascii="Times New Roman" w:hAnsi="Times New Roman" w:cs="Times New Roman"/>
          <w:sz w:val="26"/>
          <w:szCs w:val="26"/>
        </w:rPr>
        <w:t xml:space="preserve">liên tục khai thác </w:t>
      </w:r>
      <w:r w:rsidRPr="007935F1">
        <w:rPr>
          <w:rFonts w:ascii="Times New Roman" w:hAnsi="Times New Roman" w:cs="Times New Roman"/>
          <w:sz w:val="26"/>
          <w:szCs w:val="26"/>
        </w:rPr>
        <w:t xml:space="preserve">thị trường </w:t>
      </w:r>
      <w:r w:rsidR="00C967FC">
        <w:rPr>
          <w:rFonts w:ascii="Times New Roman" w:hAnsi="Times New Roman" w:cs="Times New Roman"/>
          <w:sz w:val="26"/>
          <w:szCs w:val="26"/>
        </w:rPr>
        <w:t>này</w:t>
      </w:r>
      <w:r w:rsidRPr="007935F1">
        <w:rPr>
          <w:rFonts w:ascii="Times New Roman" w:hAnsi="Times New Roman" w:cs="Times New Roman"/>
          <w:sz w:val="26"/>
          <w:szCs w:val="26"/>
        </w:rPr>
        <w:t xml:space="preserve"> và cả AirAsia và Scoot đều cung cấp các tùy chọn một cửa hấp dẫn với nhiều cặp thành phố</w:t>
      </w:r>
      <w:r w:rsidR="00C967FC">
        <w:rPr>
          <w:rFonts w:ascii="Times New Roman" w:hAnsi="Times New Roman" w:cs="Times New Roman"/>
          <w:sz w:val="26"/>
          <w:szCs w:val="26"/>
        </w:rPr>
        <w:t xml:space="preserve"> giữa hai nước.</w:t>
      </w:r>
      <w:proofErr w:type="gramEnd"/>
      <w:r w:rsidR="00C967FC">
        <w:rPr>
          <w:rFonts w:ascii="Times New Roman" w:hAnsi="Times New Roman" w:cs="Times New Roman"/>
          <w:sz w:val="26"/>
          <w:szCs w:val="26"/>
        </w:rPr>
        <w:t xml:space="preserve"> </w:t>
      </w:r>
    </w:p>
    <w:p w:rsidR="00B360F6" w:rsidRDefault="007935F1" w:rsidP="007935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Một tập đoàn hàng không </w:t>
      </w:r>
      <w:r w:rsidRPr="007935F1">
        <w:rPr>
          <w:rFonts w:ascii="Times New Roman" w:hAnsi="Times New Roman" w:cs="Times New Roman"/>
          <w:sz w:val="26"/>
          <w:szCs w:val="26"/>
        </w:rPr>
        <w:t>LCC lớ</w:t>
      </w:r>
      <w:r>
        <w:rPr>
          <w:rFonts w:ascii="Times New Roman" w:hAnsi="Times New Roman" w:cs="Times New Roman"/>
          <w:sz w:val="26"/>
          <w:szCs w:val="26"/>
        </w:rPr>
        <w:t>n khác là</w:t>
      </w:r>
      <w:r w:rsidRPr="007935F1">
        <w:rPr>
          <w:rFonts w:ascii="Times New Roman" w:hAnsi="Times New Roman" w:cs="Times New Roman"/>
          <w:sz w:val="26"/>
          <w:szCs w:val="26"/>
        </w:rPr>
        <w:t xml:space="preserve"> Lion, đã xem xét kỹ lưỡng việc thâm nhập thị trường Úc-Thái Lan, sử dụng công ty liên kết Thai Lion.</w:t>
      </w:r>
      <w:proofErr w:type="gramEnd"/>
      <w:r w:rsidRPr="007935F1">
        <w:rPr>
          <w:rFonts w:ascii="Times New Roman" w:hAnsi="Times New Roman" w:cs="Times New Roman"/>
          <w:sz w:val="26"/>
          <w:szCs w:val="26"/>
        </w:rPr>
        <w:t xml:space="preserve"> Tuy nhiên, Thai Lion đã quyết định </w:t>
      </w:r>
      <w:r w:rsidR="00C967FC">
        <w:rPr>
          <w:rFonts w:ascii="Times New Roman" w:hAnsi="Times New Roman" w:cs="Times New Roman"/>
          <w:sz w:val="26"/>
          <w:szCs w:val="26"/>
        </w:rPr>
        <w:t xml:space="preserve">không </w:t>
      </w:r>
      <w:r w:rsidRPr="007935F1">
        <w:rPr>
          <w:rFonts w:ascii="Times New Roman" w:hAnsi="Times New Roman" w:cs="Times New Roman"/>
          <w:sz w:val="26"/>
          <w:szCs w:val="26"/>
        </w:rPr>
        <w:t>ra mắt các dịch vụ của Úc ngay bây giờ do những trở ngại về quy định, điều này sẽ mở ra cho AirAsia.</w:t>
      </w:r>
    </w:p>
    <w:p w:rsidR="00C61F86" w:rsidRPr="00B65511" w:rsidRDefault="001A6149" w:rsidP="000F08A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7" w:name="_Toc10108635"/>
      <w:r w:rsidRPr="00B65511">
        <w:rPr>
          <w:rFonts w:ascii="Times New Roman" w:hAnsi="Times New Roman" w:cs="Times New Roman"/>
          <w:b/>
          <w:sz w:val="26"/>
          <w:szCs w:val="26"/>
        </w:rPr>
        <w:t>T</w:t>
      </w:r>
      <w:r w:rsidR="00A94D0D" w:rsidRPr="00B65511">
        <w:rPr>
          <w:rFonts w:ascii="Times New Roman" w:hAnsi="Times New Roman" w:cs="Times New Roman"/>
          <w:b/>
          <w:sz w:val="26"/>
          <w:szCs w:val="26"/>
        </w:rPr>
        <w:t xml:space="preserve">hị trường logistics </w:t>
      </w:r>
      <w:r w:rsidR="00D571CC" w:rsidRPr="00B65511">
        <w:rPr>
          <w:rFonts w:ascii="Times New Roman" w:hAnsi="Times New Roman" w:cs="Times New Roman"/>
          <w:b/>
          <w:sz w:val="26"/>
          <w:szCs w:val="26"/>
        </w:rPr>
        <w:t>của một số nước khác trong khu vực</w:t>
      </w:r>
      <w:bookmarkEnd w:id="17"/>
      <w:r w:rsidR="00D571CC" w:rsidRPr="00B65511">
        <w:rPr>
          <w:rFonts w:ascii="Times New Roman" w:hAnsi="Times New Roman" w:cs="Times New Roman"/>
          <w:b/>
          <w:sz w:val="26"/>
          <w:szCs w:val="26"/>
        </w:rPr>
        <w:t xml:space="preserve"> </w:t>
      </w:r>
    </w:p>
    <w:p w:rsidR="0062023F" w:rsidRPr="0062023F" w:rsidRDefault="000D7148" w:rsidP="0062023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10108636"/>
      <w:r>
        <w:rPr>
          <w:rFonts w:ascii="Times New Roman" w:hAnsi="Times New Roman" w:cs="Times New Roman"/>
          <w:b/>
          <w:i/>
          <w:sz w:val="26"/>
          <w:szCs w:val="26"/>
        </w:rPr>
        <w:t>Lào</w:t>
      </w:r>
      <w:bookmarkEnd w:id="18"/>
    </w:p>
    <w:p w:rsidR="000D7148" w:rsidRPr="000D7148" w:rsidRDefault="000D7148" w:rsidP="000D7148">
      <w:pPr>
        <w:spacing w:before="120" w:after="120" w:line="312" w:lineRule="auto"/>
        <w:ind w:firstLine="720"/>
        <w:jc w:val="both"/>
        <w:rPr>
          <w:rFonts w:ascii="Times New Roman" w:hAnsi="Times New Roman" w:cs="Times New Roman"/>
          <w:sz w:val="26"/>
          <w:szCs w:val="26"/>
        </w:rPr>
      </w:pPr>
      <w:r w:rsidRPr="000D7148">
        <w:rPr>
          <w:rFonts w:ascii="Times New Roman" w:hAnsi="Times New Roman" w:cs="Times New Roman"/>
          <w:sz w:val="26"/>
          <w:szCs w:val="26"/>
        </w:rPr>
        <w:t xml:space="preserve">Bộ Công Thương Lào có kế hoạch </w:t>
      </w:r>
      <w:r w:rsidR="001F7009">
        <w:rPr>
          <w:rFonts w:ascii="Times New Roman" w:hAnsi="Times New Roman" w:cs="Times New Roman"/>
          <w:sz w:val="26"/>
          <w:szCs w:val="26"/>
        </w:rPr>
        <w:t>ban hành</w:t>
      </w:r>
      <w:r w:rsidRPr="000D7148">
        <w:rPr>
          <w:rFonts w:ascii="Times New Roman" w:hAnsi="Times New Roman" w:cs="Times New Roman"/>
          <w:sz w:val="26"/>
          <w:szCs w:val="26"/>
        </w:rPr>
        <w:t xml:space="preserve"> một điều lệ dịch vụ mới để giảm thời gian ủy quyền xuất nhập khẩu, như một phần trong nỗ lực cải thiện môi trườ</w:t>
      </w:r>
      <w:r>
        <w:rPr>
          <w:rFonts w:ascii="Times New Roman" w:hAnsi="Times New Roman" w:cs="Times New Roman"/>
          <w:sz w:val="26"/>
          <w:szCs w:val="26"/>
        </w:rPr>
        <w:t>ng kinh doanh.</w:t>
      </w:r>
    </w:p>
    <w:p w:rsidR="000D7148" w:rsidRPr="000D7148" w:rsidRDefault="000D7148" w:rsidP="000D7148">
      <w:pPr>
        <w:spacing w:before="120" w:after="120" w:line="312" w:lineRule="auto"/>
        <w:ind w:firstLine="720"/>
        <w:jc w:val="both"/>
        <w:rPr>
          <w:rFonts w:ascii="Times New Roman" w:hAnsi="Times New Roman" w:cs="Times New Roman"/>
          <w:sz w:val="26"/>
          <w:szCs w:val="26"/>
        </w:rPr>
      </w:pPr>
      <w:proofErr w:type="gramStart"/>
      <w:r w:rsidRPr="000D7148">
        <w:rPr>
          <w:rFonts w:ascii="Times New Roman" w:hAnsi="Times New Roman" w:cs="Times New Roman"/>
          <w:sz w:val="26"/>
          <w:szCs w:val="26"/>
        </w:rPr>
        <w:t>Cục Xuất nhập khẩu củ</w:t>
      </w:r>
      <w:r w:rsidR="001F7009">
        <w:rPr>
          <w:rFonts w:ascii="Times New Roman" w:hAnsi="Times New Roman" w:cs="Times New Roman"/>
          <w:sz w:val="26"/>
          <w:szCs w:val="26"/>
        </w:rPr>
        <w:t>a Bộ Công Thương</w:t>
      </w:r>
      <w:r w:rsidRPr="000D7148">
        <w:rPr>
          <w:rFonts w:ascii="Times New Roman" w:hAnsi="Times New Roman" w:cs="Times New Roman"/>
          <w:sz w:val="26"/>
          <w:szCs w:val="26"/>
        </w:rPr>
        <w:t xml:space="preserve"> Lào </w:t>
      </w:r>
      <w:r w:rsidR="001F7009">
        <w:rPr>
          <w:rFonts w:ascii="Times New Roman" w:hAnsi="Times New Roman" w:cs="Times New Roman"/>
          <w:sz w:val="26"/>
          <w:szCs w:val="26"/>
        </w:rPr>
        <w:t>coh biết mục đích nhằm hỗ trợ</w:t>
      </w:r>
      <w:r w:rsidRPr="000D7148">
        <w:rPr>
          <w:rFonts w:ascii="Times New Roman" w:hAnsi="Times New Roman" w:cs="Times New Roman"/>
          <w:sz w:val="26"/>
          <w:szCs w:val="26"/>
        </w:rPr>
        <w:t xml:space="preserve"> các nhà khai thác kinh doanh hưởng lợi từ các dịch vụ </w:t>
      </w:r>
      <w:r w:rsidR="001F7009">
        <w:rPr>
          <w:rFonts w:ascii="Times New Roman" w:hAnsi="Times New Roman" w:cs="Times New Roman"/>
          <w:sz w:val="26"/>
          <w:szCs w:val="26"/>
        </w:rPr>
        <w:t>công được cải tiến.</w:t>
      </w:r>
      <w:proofErr w:type="gramEnd"/>
    </w:p>
    <w:p w:rsidR="001F7009" w:rsidRDefault="000D7148" w:rsidP="000D7148">
      <w:pPr>
        <w:spacing w:before="120" w:after="120" w:line="312" w:lineRule="auto"/>
        <w:ind w:firstLine="720"/>
        <w:jc w:val="both"/>
        <w:rPr>
          <w:rFonts w:ascii="Times New Roman" w:hAnsi="Times New Roman" w:cs="Times New Roman"/>
          <w:sz w:val="26"/>
          <w:szCs w:val="26"/>
        </w:rPr>
      </w:pPr>
      <w:r w:rsidRPr="000D7148">
        <w:rPr>
          <w:rFonts w:ascii="Times New Roman" w:hAnsi="Times New Roman" w:cs="Times New Roman"/>
          <w:sz w:val="26"/>
          <w:szCs w:val="26"/>
        </w:rPr>
        <w:t xml:space="preserve">Theo </w:t>
      </w:r>
      <w:r w:rsidR="001F7009">
        <w:rPr>
          <w:rFonts w:ascii="Times New Roman" w:hAnsi="Times New Roman" w:cs="Times New Roman"/>
          <w:sz w:val="26"/>
          <w:szCs w:val="26"/>
        </w:rPr>
        <w:t>quy định</w:t>
      </w:r>
      <w:r w:rsidRPr="000D7148">
        <w:rPr>
          <w:rFonts w:ascii="Times New Roman" w:hAnsi="Times New Roman" w:cs="Times New Roman"/>
          <w:sz w:val="26"/>
          <w:szCs w:val="26"/>
        </w:rPr>
        <w:t xml:space="preserve"> mới, các doanh nghiệp sẽ có thể được phép nhập khẩu và xuất khẩu </w:t>
      </w:r>
      <w:proofErr w:type="gramStart"/>
      <w:r w:rsidRPr="000D7148">
        <w:rPr>
          <w:rFonts w:ascii="Times New Roman" w:hAnsi="Times New Roman" w:cs="Times New Roman"/>
          <w:sz w:val="26"/>
          <w:szCs w:val="26"/>
        </w:rPr>
        <w:t>xe</w:t>
      </w:r>
      <w:proofErr w:type="gramEnd"/>
      <w:r w:rsidRPr="000D7148">
        <w:rPr>
          <w:rFonts w:ascii="Times New Roman" w:hAnsi="Times New Roman" w:cs="Times New Roman"/>
          <w:sz w:val="26"/>
          <w:szCs w:val="26"/>
        </w:rPr>
        <w:t xml:space="preserve">, nhiên liệu và kim cương trong vòng một ngày sau khi gửi yêu cầu chính thức. </w:t>
      </w:r>
      <w:proofErr w:type="gramStart"/>
      <w:r w:rsidRPr="000D7148">
        <w:rPr>
          <w:rFonts w:ascii="Times New Roman" w:hAnsi="Times New Roman" w:cs="Times New Roman"/>
          <w:sz w:val="26"/>
          <w:szCs w:val="26"/>
        </w:rPr>
        <w:t>Nếu các doanh nghiệp gửi yêu cầu điện tử thông qua hệ thống một cửa quốc gia, quá trình phê duyệt sẽ chỉ mất nử</w:t>
      </w:r>
      <w:r w:rsidR="001F7009">
        <w:rPr>
          <w:rFonts w:ascii="Times New Roman" w:hAnsi="Times New Roman" w:cs="Times New Roman"/>
          <w:sz w:val="26"/>
          <w:szCs w:val="26"/>
        </w:rPr>
        <w:t>a ngày.</w:t>
      </w:r>
      <w:proofErr w:type="gramEnd"/>
    </w:p>
    <w:p w:rsidR="000D7148" w:rsidRPr="000D7148" w:rsidRDefault="000D7148" w:rsidP="000D7148">
      <w:pPr>
        <w:spacing w:before="120" w:after="120" w:line="312" w:lineRule="auto"/>
        <w:ind w:firstLine="720"/>
        <w:jc w:val="both"/>
        <w:rPr>
          <w:rFonts w:ascii="Times New Roman" w:hAnsi="Times New Roman" w:cs="Times New Roman"/>
          <w:sz w:val="26"/>
          <w:szCs w:val="26"/>
        </w:rPr>
      </w:pPr>
      <w:proofErr w:type="gramStart"/>
      <w:r w:rsidRPr="000D7148">
        <w:rPr>
          <w:rFonts w:ascii="Times New Roman" w:hAnsi="Times New Roman" w:cs="Times New Roman"/>
          <w:sz w:val="26"/>
          <w:szCs w:val="26"/>
        </w:rPr>
        <w:t xml:space="preserve">Ngoài việc giảm thời gian phát hành chứng từ xuất nhập khẩu, </w:t>
      </w:r>
      <w:r w:rsidR="001F7009">
        <w:rPr>
          <w:rFonts w:ascii="Times New Roman" w:hAnsi="Times New Roman" w:cs="Times New Roman"/>
          <w:sz w:val="26"/>
          <w:szCs w:val="26"/>
        </w:rPr>
        <w:t>Bộ này có</w:t>
      </w:r>
      <w:r w:rsidRPr="000D7148">
        <w:rPr>
          <w:rFonts w:ascii="Times New Roman" w:hAnsi="Times New Roman" w:cs="Times New Roman"/>
          <w:sz w:val="26"/>
          <w:szCs w:val="26"/>
        </w:rPr>
        <w:t xml:space="preserve"> kế hoạch giảm một nửa thời gian cần thiết để cấp cho các doanh nghiệp giấy chứng nhận xuất xứ.</w:t>
      </w:r>
      <w:proofErr w:type="gramEnd"/>
      <w:r w:rsidRPr="000D7148">
        <w:rPr>
          <w:rFonts w:ascii="Times New Roman" w:hAnsi="Times New Roman" w:cs="Times New Roman"/>
          <w:sz w:val="26"/>
          <w:szCs w:val="26"/>
        </w:rPr>
        <w:t xml:space="preserve"> </w:t>
      </w:r>
      <w:proofErr w:type="gramStart"/>
      <w:r w:rsidRPr="000D7148">
        <w:rPr>
          <w:rFonts w:ascii="Times New Roman" w:hAnsi="Times New Roman" w:cs="Times New Roman"/>
          <w:sz w:val="26"/>
          <w:szCs w:val="26"/>
        </w:rPr>
        <w:t xml:space="preserve">Năm 2018, </w:t>
      </w:r>
      <w:r w:rsidR="001F7009">
        <w:rPr>
          <w:rFonts w:ascii="Times New Roman" w:hAnsi="Times New Roman" w:cs="Times New Roman"/>
          <w:sz w:val="26"/>
          <w:szCs w:val="26"/>
        </w:rPr>
        <w:t>quy trình này mất đến 4 tiếng đồng hồ</w:t>
      </w:r>
      <w:r>
        <w:rPr>
          <w:rFonts w:ascii="Times New Roman" w:hAnsi="Times New Roman" w:cs="Times New Roman"/>
          <w:sz w:val="26"/>
          <w:szCs w:val="26"/>
        </w:rPr>
        <w:t>.</w:t>
      </w:r>
      <w:proofErr w:type="gramEnd"/>
    </w:p>
    <w:p w:rsidR="000D7148" w:rsidRPr="000D7148" w:rsidRDefault="000D7148" w:rsidP="000D7148">
      <w:pPr>
        <w:spacing w:before="120" w:after="120" w:line="312" w:lineRule="auto"/>
        <w:ind w:firstLine="720"/>
        <w:jc w:val="both"/>
        <w:rPr>
          <w:rFonts w:ascii="Times New Roman" w:hAnsi="Times New Roman" w:cs="Times New Roman"/>
          <w:sz w:val="26"/>
          <w:szCs w:val="26"/>
        </w:rPr>
      </w:pPr>
      <w:proofErr w:type="gramStart"/>
      <w:r w:rsidRPr="000D7148">
        <w:rPr>
          <w:rFonts w:ascii="Times New Roman" w:hAnsi="Times New Roman" w:cs="Times New Roman"/>
          <w:sz w:val="26"/>
          <w:szCs w:val="26"/>
        </w:rPr>
        <w:t>Kể từ năm nay, các nhà khai thác kinh doanh sẽ có thể có được giấy chứng nhận vận chuyển hàng hóa và hàng hóa nhập khẩu để xuất khẩu trong vòng một ngày, giảm từ</w:t>
      </w:r>
      <w:r>
        <w:rPr>
          <w:rFonts w:ascii="Times New Roman" w:hAnsi="Times New Roman" w:cs="Times New Roman"/>
          <w:sz w:val="26"/>
          <w:szCs w:val="26"/>
        </w:rPr>
        <w:t xml:space="preserve"> hai ngày trong năm 2018.</w:t>
      </w:r>
      <w:proofErr w:type="gramEnd"/>
    </w:p>
    <w:p w:rsidR="000D7148" w:rsidRPr="000D7148" w:rsidRDefault="000D7148" w:rsidP="000D7148">
      <w:pPr>
        <w:spacing w:before="120" w:after="120" w:line="312" w:lineRule="auto"/>
        <w:ind w:firstLine="720"/>
        <w:jc w:val="both"/>
        <w:rPr>
          <w:rFonts w:ascii="Times New Roman" w:hAnsi="Times New Roman" w:cs="Times New Roman"/>
          <w:sz w:val="26"/>
          <w:szCs w:val="26"/>
        </w:rPr>
      </w:pPr>
      <w:proofErr w:type="gramStart"/>
      <w:r w:rsidRPr="000D7148">
        <w:rPr>
          <w:rFonts w:ascii="Times New Roman" w:hAnsi="Times New Roman" w:cs="Times New Roman"/>
          <w:sz w:val="26"/>
          <w:szCs w:val="26"/>
        </w:rPr>
        <w:t>Liên quan đến việc trả lời các câu hỏi của các nhà khai thác kinh doanh, các quan chức xuất nhập khẩu sẽ trả lời trong vòng ba ngày, giảm so với năm ngày trướ</w:t>
      </w:r>
      <w:r>
        <w:rPr>
          <w:rFonts w:ascii="Times New Roman" w:hAnsi="Times New Roman" w:cs="Times New Roman"/>
          <w:sz w:val="26"/>
          <w:szCs w:val="26"/>
        </w:rPr>
        <w:t>c đó.</w:t>
      </w:r>
      <w:proofErr w:type="gramEnd"/>
    </w:p>
    <w:p w:rsidR="000D7148" w:rsidRPr="000D7148" w:rsidRDefault="000D7148" w:rsidP="000D7148">
      <w:pPr>
        <w:spacing w:before="120" w:after="120" w:line="312" w:lineRule="auto"/>
        <w:ind w:firstLine="720"/>
        <w:jc w:val="both"/>
        <w:rPr>
          <w:rFonts w:ascii="Times New Roman" w:hAnsi="Times New Roman" w:cs="Times New Roman"/>
          <w:sz w:val="26"/>
          <w:szCs w:val="26"/>
        </w:rPr>
      </w:pPr>
      <w:r w:rsidRPr="000D7148">
        <w:rPr>
          <w:rFonts w:ascii="Times New Roman" w:hAnsi="Times New Roman" w:cs="Times New Roman"/>
          <w:sz w:val="26"/>
          <w:szCs w:val="26"/>
        </w:rPr>
        <w:lastRenderedPageBreak/>
        <w:t xml:space="preserve">Để tiếp tục tạo điều kiện cho thương mại xuyên biên giới, Cục Xuất nhập khẩu của Bộ Công thương Lào đã gặp các cơ quan hữu quan để đề xuất những thay đổi mà họ nên thực hiện. </w:t>
      </w:r>
      <w:proofErr w:type="gramStart"/>
      <w:r w:rsidRPr="000D7148">
        <w:rPr>
          <w:rFonts w:ascii="Times New Roman" w:hAnsi="Times New Roman" w:cs="Times New Roman"/>
          <w:sz w:val="26"/>
          <w:szCs w:val="26"/>
        </w:rPr>
        <w:t>Một trong những khuyến nghị này là để chính phủ Lào hủy bỏ quy trình phê duyệt xuất nhập khẩu hiện đang cần cho các hàng hóa liên quan đến chăn nuôi, thực phẩm và thuốc.</w:t>
      </w:r>
      <w:proofErr w:type="gramEnd"/>
      <w:r w:rsidRPr="000D7148">
        <w:rPr>
          <w:rFonts w:ascii="Times New Roman" w:hAnsi="Times New Roman" w:cs="Times New Roman"/>
          <w:sz w:val="26"/>
          <w:szCs w:val="26"/>
        </w:rPr>
        <w:t xml:space="preserve"> </w:t>
      </w:r>
      <w:proofErr w:type="gramStart"/>
      <w:r w:rsidRPr="000D7148">
        <w:rPr>
          <w:rFonts w:ascii="Times New Roman" w:hAnsi="Times New Roman" w:cs="Times New Roman"/>
          <w:sz w:val="26"/>
          <w:szCs w:val="26"/>
        </w:rPr>
        <w:t>Tuy nhiên, chính phủ Lào cần tiếp tục kiểm tra chất lượng hàng hóa nhập khẩu tại các cửa khẩu biên giới.</w:t>
      </w:r>
      <w:proofErr w:type="gramEnd"/>
      <w:r w:rsidRPr="000D7148">
        <w:rPr>
          <w:rFonts w:ascii="Times New Roman" w:hAnsi="Times New Roman" w:cs="Times New Roman"/>
          <w:sz w:val="26"/>
          <w:szCs w:val="26"/>
        </w:rPr>
        <w:t xml:space="preserve"> Điều này có nghĩa là chính phủ Lào nên tự do cho phép hàng hóa được nhập khẩu miễn là đáp ứng các tiêu chuẩn quốc gia đã đặt ra</w:t>
      </w:r>
      <w:r w:rsidR="001F7009">
        <w:rPr>
          <w:rFonts w:ascii="Times New Roman" w:hAnsi="Times New Roman" w:cs="Times New Roman"/>
          <w:sz w:val="26"/>
          <w:szCs w:val="26"/>
        </w:rPr>
        <w:t>.</w:t>
      </w:r>
    </w:p>
    <w:p w:rsidR="008B56EB" w:rsidRPr="0062023F" w:rsidRDefault="001F7009" w:rsidP="000D7148">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B</w:t>
      </w:r>
      <w:r w:rsidR="000D7148" w:rsidRPr="000D7148">
        <w:rPr>
          <w:rFonts w:ascii="Times New Roman" w:hAnsi="Times New Roman" w:cs="Times New Roman"/>
          <w:sz w:val="26"/>
          <w:szCs w:val="26"/>
        </w:rPr>
        <w:t>áo cáo</w:t>
      </w:r>
      <w:r>
        <w:rPr>
          <w:rFonts w:ascii="Times New Roman" w:hAnsi="Times New Roman" w:cs="Times New Roman"/>
          <w:sz w:val="26"/>
          <w:szCs w:val="26"/>
        </w:rPr>
        <w:t xml:space="preserve"> của Cục Xuất nhập khẩu Lào</w:t>
      </w:r>
      <w:r w:rsidR="000D7148" w:rsidRPr="000D7148">
        <w:rPr>
          <w:rFonts w:ascii="Times New Roman" w:hAnsi="Times New Roman" w:cs="Times New Roman"/>
          <w:sz w:val="26"/>
          <w:szCs w:val="26"/>
        </w:rPr>
        <w:t xml:space="preserve"> cũng </w:t>
      </w:r>
      <w:r>
        <w:rPr>
          <w:rFonts w:ascii="Times New Roman" w:hAnsi="Times New Roman" w:cs="Times New Roman"/>
          <w:sz w:val="26"/>
          <w:szCs w:val="26"/>
        </w:rPr>
        <w:t>cho</w:t>
      </w:r>
      <w:r w:rsidR="000D7148" w:rsidRPr="000D7148">
        <w:rPr>
          <w:rFonts w:ascii="Times New Roman" w:hAnsi="Times New Roman" w:cs="Times New Roman"/>
          <w:sz w:val="26"/>
          <w:szCs w:val="26"/>
        </w:rPr>
        <w:t xml:space="preserve"> thấy một sự cải thiện lớn tại các trạm kiểm soát biên giới, và thêm rằng bây giờ mất ít thời gian hơn để nhập khẩ</w:t>
      </w:r>
      <w:r w:rsidR="000D7148">
        <w:rPr>
          <w:rFonts w:ascii="Times New Roman" w:hAnsi="Times New Roman" w:cs="Times New Roman"/>
          <w:sz w:val="26"/>
          <w:szCs w:val="26"/>
        </w:rPr>
        <w:t>u hàng hóa</w:t>
      </w:r>
      <w:r w:rsidR="008B56EB" w:rsidRPr="008B56EB">
        <w:rPr>
          <w:rFonts w:ascii="Times New Roman" w:hAnsi="Times New Roman" w:cs="Times New Roman"/>
          <w:sz w:val="26"/>
          <w:szCs w:val="26"/>
        </w:rPr>
        <w:t>.</w:t>
      </w:r>
      <w:proofErr w:type="gramEnd"/>
    </w:p>
    <w:p w:rsidR="00E705CC" w:rsidRPr="007935F1" w:rsidRDefault="00E705CC" w:rsidP="007935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10108637"/>
      <w:r>
        <w:rPr>
          <w:rFonts w:ascii="Times New Roman" w:hAnsi="Times New Roman" w:cs="Times New Roman"/>
          <w:b/>
          <w:i/>
          <w:sz w:val="26"/>
          <w:szCs w:val="26"/>
        </w:rPr>
        <w:t>Philipinnes</w:t>
      </w:r>
      <w:bookmarkEnd w:id="19"/>
    </w:p>
    <w:p w:rsidR="007935F1" w:rsidRPr="007935F1" w:rsidRDefault="007935F1" w:rsidP="00D4492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Pr="007935F1">
        <w:rPr>
          <w:rFonts w:ascii="Times New Roman" w:hAnsi="Times New Roman" w:cs="Times New Roman"/>
          <w:sz w:val="26"/>
          <w:szCs w:val="26"/>
        </w:rPr>
        <w:t xml:space="preserve">hilippines </w:t>
      </w:r>
      <w:r>
        <w:rPr>
          <w:rFonts w:ascii="Times New Roman" w:hAnsi="Times New Roman" w:cs="Times New Roman"/>
          <w:sz w:val="26"/>
          <w:szCs w:val="26"/>
        </w:rPr>
        <w:t>đã trở thành mộ</w:t>
      </w:r>
      <w:r w:rsidRPr="007935F1">
        <w:rPr>
          <w:rFonts w:ascii="Times New Roman" w:hAnsi="Times New Roman" w:cs="Times New Roman"/>
          <w:sz w:val="26"/>
          <w:szCs w:val="26"/>
        </w:rPr>
        <w:t xml:space="preserve">t điểm đến </w:t>
      </w:r>
      <w:r>
        <w:rPr>
          <w:rFonts w:ascii="Times New Roman" w:hAnsi="Times New Roman" w:cs="Times New Roman"/>
          <w:sz w:val="26"/>
          <w:szCs w:val="26"/>
        </w:rPr>
        <w:t>thân thuộc của du khách</w:t>
      </w:r>
      <w:r w:rsidRPr="007935F1">
        <w:rPr>
          <w:rFonts w:ascii="Times New Roman" w:hAnsi="Times New Roman" w:cs="Times New Roman"/>
          <w:sz w:val="26"/>
          <w:szCs w:val="26"/>
        </w:rPr>
        <w:t xml:space="preserve"> Bắc Á</w:t>
      </w:r>
      <w:r>
        <w:rPr>
          <w:rFonts w:ascii="Times New Roman" w:hAnsi="Times New Roman" w:cs="Times New Roman"/>
          <w:sz w:val="26"/>
          <w:szCs w:val="26"/>
        </w:rPr>
        <w:t>, đây</w:t>
      </w:r>
      <w:r w:rsidRPr="007935F1">
        <w:rPr>
          <w:rFonts w:ascii="Times New Roman" w:hAnsi="Times New Roman" w:cs="Times New Roman"/>
          <w:sz w:val="26"/>
          <w:szCs w:val="26"/>
        </w:rPr>
        <w:t xml:space="preserve"> là động lực chính của thị trường Philippines-Bắ</w:t>
      </w:r>
      <w:r w:rsidR="001F7009">
        <w:rPr>
          <w:rFonts w:ascii="Times New Roman" w:hAnsi="Times New Roman" w:cs="Times New Roman"/>
          <w:sz w:val="26"/>
          <w:szCs w:val="26"/>
        </w:rPr>
        <w:t>c Á</w:t>
      </w:r>
      <w:r w:rsidRPr="007935F1">
        <w:rPr>
          <w:rFonts w:ascii="Times New Roman" w:hAnsi="Times New Roman" w:cs="Times New Roman"/>
          <w:sz w:val="26"/>
          <w:szCs w:val="26"/>
        </w:rPr>
        <w:t>. Số lượng du khách Bắc Á đến Philippines đã tăng nhanh, dẫn đến tăng trưởng nhanh chóng về lưu lượ</w:t>
      </w:r>
      <w:r w:rsidR="00D4492C">
        <w:rPr>
          <w:rFonts w:ascii="Times New Roman" w:hAnsi="Times New Roman" w:cs="Times New Roman"/>
          <w:sz w:val="26"/>
          <w:szCs w:val="26"/>
        </w:rPr>
        <w:t>ng hành khách.</w:t>
      </w:r>
    </w:p>
    <w:p w:rsid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 xml:space="preserve">Các hãng hàng không giá rẻ </w:t>
      </w:r>
      <w:r w:rsidR="001F7009">
        <w:rPr>
          <w:rFonts w:ascii="Times New Roman" w:hAnsi="Times New Roman" w:cs="Times New Roman"/>
          <w:sz w:val="26"/>
          <w:szCs w:val="26"/>
        </w:rPr>
        <w:t xml:space="preserve">(LCC) </w:t>
      </w:r>
      <w:r w:rsidRPr="007935F1">
        <w:rPr>
          <w:rFonts w:ascii="Times New Roman" w:hAnsi="Times New Roman" w:cs="Times New Roman"/>
          <w:sz w:val="26"/>
          <w:szCs w:val="26"/>
        </w:rPr>
        <w:t xml:space="preserve">đặc biệt được hưởng lợi từ sự tăng trưởng nhanh chóng về nhu cầu đi lại giữa Philippines và Bắc Á. </w:t>
      </w:r>
      <w:r w:rsidR="001F7009">
        <w:rPr>
          <w:rFonts w:ascii="Times New Roman" w:hAnsi="Times New Roman" w:cs="Times New Roman"/>
          <w:sz w:val="26"/>
          <w:szCs w:val="26"/>
        </w:rPr>
        <w:t xml:space="preserve">Các </w:t>
      </w:r>
      <w:r w:rsidRPr="007935F1">
        <w:rPr>
          <w:rFonts w:ascii="Times New Roman" w:hAnsi="Times New Roman" w:cs="Times New Roman"/>
          <w:sz w:val="26"/>
          <w:szCs w:val="26"/>
        </w:rPr>
        <w:t xml:space="preserve">LCC </w:t>
      </w:r>
      <w:r w:rsidR="001F7009">
        <w:rPr>
          <w:rFonts w:ascii="Times New Roman" w:hAnsi="Times New Roman" w:cs="Times New Roman"/>
          <w:sz w:val="26"/>
          <w:szCs w:val="26"/>
        </w:rPr>
        <w:t xml:space="preserve">đang tìm cách tranh thủ các phân khúc thị trường có </w:t>
      </w:r>
      <w:r w:rsidRPr="007935F1">
        <w:rPr>
          <w:rFonts w:ascii="Times New Roman" w:hAnsi="Times New Roman" w:cs="Times New Roman"/>
          <w:sz w:val="26"/>
          <w:szCs w:val="26"/>
        </w:rPr>
        <w:t>vị trí tốt, đặc biệt là bên ngoài Manila</w:t>
      </w:r>
      <w:r w:rsidR="001F7009">
        <w:rPr>
          <w:rFonts w:ascii="Times New Roman" w:hAnsi="Times New Roman" w:cs="Times New Roman"/>
          <w:sz w:val="26"/>
          <w:szCs w:val="26"/>
        </w:rPr>
        <w:t xml:space="preserve"> đang</w:t>
      </w:r>
      <w:r w:rsidRPr="007935F1">
        <w:rPr>
          <w:rFonts w:ascii="Times New Roman" w:hAnsi="Times New Roman" w:cs="Times New Roman"/>
          <w:sz w:val="26"/>
          <w:szCs w:val="26"/>
        </w:rPr>
        <w:t xml:space="preserve"> bị tắc nghẽn, vì </w:t>
      </w:r>
      <w:r w:rsidR="001F7009">
        <w:rPr>
          <w:rFonts w:ascii="Times New Roman" w:hAnsi="Times New Roman" w:cs="Times New Roman"/>
          <w:sz w:val="26"/>
          <w:szCs w:val="26"/>
        </w:rPr>
        <w:t>hầu hết các tuyến bay giữa</w:t>
      </w:r>
      <w:r w:rsidRPr="007935F1">
        <w:rPr>
          <w:rFonts w:ascii="Times New Roman" w:hAnsi="Times New Roman" w:cs="Times New Roman"/>
          <w:sz w:val="26"/>
          <w:szCs w:val="26"/>
        </w:rPr>
        <w:t xml:space="preserve"> Philippines-Bắc Á đều nhạy cảm về giá.</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 xml:space="preserve">Sức chứa </w:t>
      </w:r>
      <w:r>
        <w:rPr>
          <w:rFonts w:ascii="Times New Roman" w:hAnsi="Times New Roman" w:cs="Times New Roman"/>
          <w:sz w:val="26"/>
          <w:szCs w:val="26"/>
        </w:rPr>
        <w:t xml:space="preserve">(tính theo số </w:t>
      </w:r>
      <w:r w:rsidRPr="007935F1">
        <w:rPr>
          <w:rFonts w:ascii="Times New Roman" w:hAnsi="Times New Roman" w:cs="Times New Roman"/>
          <w:sz w:val="26"/>
          <w:szCs w:val="26"/>
        </w:rPr>
        <w:t>ghế</w:t>
      </w:r>
      <w:r>
        <w:rPr>
          <w:rFonts w:ascii="Times New Roman" w:hAnsi="Times New Roman" w:cs="Times New Roman"/>
          <w:sz w:val="26"/>
          <w:szCs w:val="26"/>
        </w:rPr>
        <w:t xml:space="preserve">) </w:t>
      </w:r>
      <w:r w:rsidRPr="007935F1">
        <w:rPr>
          <w:rFonts w:ascii="Times New Roman" w:hAnsi="Times New Roman" w:cs="Times New Roman"/>
          <w:sz w:val="26"/>
          <w:szCs w:val="26"/>
        </w:rPr>
        <w:t>của</w:t>
      </w:r>
      <w:r w:rsidR="001F7009">
        <w:rPr>
          <w:rFonts w:ascii="Times New Roman" w:hAnsi="Times New Roman" w:cs="Times New Roman"/>
          <w:sz w:val="26"/>
          <w:szCs w:val="26"/>
        </w:rPr>
        <w:t xml:space="preserve"> các</w:t>
      </w:r>
      <w:r>
        <w:rPr>
          <w:rFonts w:ascii="Times New Roman" w:hAnsi="Times New Roman" w:cs="Times New Roman"/>
          <w:sz w:val="26"/>
          <w:szCs w:val="26"/>
        </w:rPr>
        <w:t xml:space="preserve"> chuyến bay tuyến</w:t>
      </w:r>
      <w:r w:rsidRPr="007935F1">
        <w:rPr>
          <w:rFonts w:ascii="Times New Roman" w:hAnsi="Times New Roman" w:cs="Times New Roman"/>
          <w:sz w:val="26"/>
          <w:szCs w:val="26"/>
        </w:rPr>
        <w:t xml:space="preserve"> Philippines-Bắc Á đã tăng gần 20% trong năm qua và gần 70% trong bốn năm qua.</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 xml:space="preserve">LCC </w:t>
      </w:r>
      <w:r w:rsidR="001F7009">
        <w:rPr>
          <w:rFonts w:ascii="Times New Roman" w:hAnsi="Times New Roman" w:cs="Times New Roman"/>
          <w:sz w:val="26"/>
          <w:szCs w:val="26"/>
        </w:rPr>
        <w:t>đã</w:t>
      </w:r>
      <w:r w:rsidRPr="007935F1">
        <w:rPr>
          <w:rFonts w:ascii="Times New Roman" w:hAnsi="Times New Roman" w:cs="Times New Roman"/>
          <w:sz w:val="26"/>
          <w:szCs w:val="26"/>
        </w:rPr>
        <w:t xml:space="preserve"> tăng trưởng</w:t>
      </w:r>
      <w:r w:rsidR="001F7009">
        <w:rPr>
          <w:rFonts w:ascii="Times New Roman" w:hAnsi="Times New Roman" w:cs="Times New Roman"/>
          <w:sz w:val="26"/>
          <w:szCs w:val="26"/>
        </w:rPr>
        <w:t xml:space="preserve"> rất ấn tượng</w:t>
      </w:r>
      <w:r w:rsidRPr="007935F1">
        <w:rPr>
          <w:rFonts w:ascii="Times New Roman" w:hAnsi="Times New Roman" w:cs="Times New Roman"/>
          <w:sz w:val="26"/>
          <w:szCs w:val="26"/>
        </w:rPr>
        <w:t>, tỷ lệ thâm nhập LCC vào thị trường Philippines-Bắc Á tăng từ 27% vào tháng 4-2015 đến 42% hiện nay.</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LCC hiện chiếm 33% công suất ghế Manila-Bắc Á, so với 60% công suất ghế ngoài Manila-Bắc Á.</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proofErr w:type="gramStart"/>
      <w:r w:rsidRPr="007935F1">
        <w:rPr>
          <w:rFonts w:ascii="Times New Roman" w:hAnsi="Times New Roman" w:cs="Times New Roman"/>
          <w:sz w:val="26"/>
          <w:szCs w:val="26"/>
        </w:rPr>
        <w:t>Hiện tại có 12 LCC cạnh tranh tại thị trường Philippines-Bắc Á, trong đó có chín LCC Bắc Á.</w:t>
      </w:r>
      <w:proofErr w:type="gramEnd"/>
    </w:p>
    <w:p w:rsidR="007935F1" w:rsidRPr="00E705CC"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lastRenderedPageBreak/>
        <w:t>Dự kiến mở rộng LCC nhanh hơn khi số lượng khách Bắc Á đến Philippines, nơi đã chiếm hơn một nửa tổng số khách, tiếp tục tăng.</w:t>
      </w:r>
    </w:p>
    <w:p w:rsidR="007935F1" w:rsidRPr="007935F1" w:rsidRDefault="007935F1" w:rsidP="007935F1">
      <w:pPr>
        <w:spacing w:before="120" w:after="120" w:line="312" w:lineRule="auto"/>
        <w:ind w:firstLine="720"/>
        <w:jc w:val="both"/>
        <w:rPr>
          <w:rFonts w:ascii="Times New Roman" w:hAnsi="Times New Roman" w:cs="Times New Roman"/>
          <w:i/>
          <w:sz w:val="26"/>
          <w:szCs w:val="26"/>
        </w:rPr>
      </w:pPr>
      <w:r w:rsidRPr="007935F1">
        <w:rPr>
          <w:rFonts w:ascii="Times New Roman" w:hAnsi="Times New Roman" w:cs="Times New Roman"/>
          <w:i/>
          <w:sz w:val="26"/>
          <w:szCs w:val="26"/>
        </w:rPr>
        <w:t>Bắc Á chiếm 55% công suất ghế quốc tế của Philippines</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proofErr w:type="gramStart"/>
      <w:r w:rsidRPr="007935F1">
        <w:rPr>
          <w:rFonts w:ascii="Times New Roman" w:hAnsi="Times New Roman" w:cs="Times New Roman"/>
          <w:sz w:val="26"/>
          <w:szCs w:val="26"/>
        </w:rPr>
        <w:t>Bắc Á là một thị trường khổng lồ cho Philippines và chiếm hơn một nửa tổng công suất ghế quốc tế từ Philippines.</w:t>
      </w:r>
      <w:proofErr w:type="gramEnd"/>
      <w:r w:rsidRPr="007935F1">
        <w:rPr>
          <w:rFonts w:ascii="Times New Roman" w:hAnsi="Times New Roman" w:cs="Times New Roman"/>
          <w:sz w:val="26"/>
          <w:szCs w:val="26"/>
        </w:rPr>
        <w:t xml:space="preserve"> Hiện tại có hơn 220.000 ghế một chiều hàng tuần từ Philippines đến Bắc Á, so với hơn 80.000 ghế hàng tuần đến Đông Nam Á, đây là thị trường lớn thứ hai củ</w:t>
      </w:r>
      <w:r>
        <w:rPr>
          <w:rFonts w:ascii="Times New Roman" w:hAnsi="Times New Roman" w:cs="Times New Roman"/>
          <w:sz w:val="26"/>
          <w:szCs w:val="26"/>
        </w:rPr>
        <w:t>a Philippines.</w:t>
      </w:r>
    </w:p>
    <w:p w:rsidR="009D11AC" w:rsidRPr="001F7009" w:rsidRDefault="001F7009" w:rsidP="001F7009">
      <w:pPr>
        <w:pStyle w:val="Caption"/>
        <w:spacing w:before="120" w:after="120" w:line="312" w:lineRule="auto"/>
        <w:jc w:val="center"/>
        <w:rPr>
          <w:rFonts w:ascii="Times New Roman" w:hAnsi="Times New Roman" w:cs="Times New Roman"/>
          <w:i/>
          <w:color w:val="000000" w:themeColor="text1"/>
          <w:sz w:val="26"/>
          <w:szCs w:val="26"/>
        </w:rPr>
      </w:pPr>
      <w:bookmarkStart w:id="20" w:name="_Toc10108642"/>
      <w:r w:rsidRPr="001F7009">
        <w:rPr>
          <w:rFonts w:ascii="Times New Roman" w:hAnsi="Times New Roman" w:cs="Times New Roman"/>
          <w:color w:val="000000" w:themeColor="text1"/>
          <w:sz w:val="26"/>
          <w:szCs w:val="26"/>
        </w:rPr>
        <w:t xml:space="preserve">Hình </w:t>
      </w:r>
      <w:r w:rsidRPr="001F7009">
        <w:rPr>
          <w:rFonts w:ascii="Times New Roman" w:hAnsi="Times New Roman" w:cs="Times New Roman"/>
          <w:color w:val="000000" w:themeColor="text1"/>
          <w:sz w:val="26"/>
          <w:szCs w:val="26"/>
        </w:rPr>
        <w:fldChar w:fldCharType="begin"/>
      </w:r>
      <w:r w:rsidRPr="001F7009">
        <w:rPr>
          <w:rFonts w:ascii="Times New Roman" w:hAnsi="Times New Roman" w:cs="Times New Roman"/>
          <w:color w:val="000000" w:themeColor="text1"/>
          <w:sz w:val="26"/>
          <w:szCs w:val="26"/>
        </w:rPr>
        <w:instrText xml:space="preserve"> SEQ Hình \* ARABIC </w:instrText>
      </w:r>
      <w:r w:rsidRPr="001F7009">
        <w:rPr>
          <w:rFonts w:ascii="Times New Roman" w:hAnsi="Times New Roman" w:cs="Times New Roman"/>
          <w:color w:val="000000" w:themeColor="text1"/>
          <w:sz w:val="26"/>
          <w:szCs w:val="26"/>
        </w:rPr>
        <w:fldChar w:fldCharType="separate"/>
      </w:r>
      <w:r w:rsidRPr="001F7009">
        <w:rPr>
          <w:rFonts w:ascii="Times New Roman" w:hAnsi="Times New Roman" w:cs="Times New Roman"/>
          <w:noProof/>
          <w:color w:val="000000" w:themeColor="text1"/>
          <w:sz w:val="26"/>
          <w:szCs w:val="26"/>
        </w:rPr>
        <w:t>5</w:t>
      </w:r>
      <w:r w:rsidRPr="001F7009">
        <w:rPr>
          <w:rFonts w:ascii="Times New Roman" w:hAnsi="Times New Roman" w:cs="Times New Roman"/>
          <w:color w:val="000000" w:themeColor="text1"/>
          <w:sz w:val="26"/>
          <w:szCs w:val="26"/>
        </w:rPr>
        <w:fldChar w:fldCharType="end"/>
      </w:r>
      <w:r w:rsidRPr="001F7009">
        <w:rPr>
          <w:rFonts w:ascii="Times New Roman" w:hAnsi="Times New Roman" w:cs="Times New Roman"/>
          <w:color w:val="000000" w:themeColor="text1"/>
          <w:sz w:val="26"/>
          <w:szCs w:val="26"/>
        </w:rPr>
        <w:t xml:space="preserve">: </w:t>
      </w:r>
      <w:r w:rsidR="007935F1" w:rsidRPr="001F7009">
        <w:rPr>
          <w:rFonts w:ascii="Times New Roman" w:hAnsi="Times New Roman" w:cs="Times New Roman"/>
          <w:color w:val="000000" w:themeColor="text1"/>
          <w:sz w:val="26"/>
          <w:szCs w:val="26"/>
        </w:rPr>
        <w:t>Sáu thị trường quốc tế hàng đầ</w:t>
      </w:r>
      <w:r w:rsidR="009E1746" w:rsidRPr="001F7009">
        <w:rPr>
          <w:rFonts w:ascii="Times New Roman" w:hAnsi="Times New Roman" w:cs="Times New Roman"/>
          <w:color w:val="000000" w:themeColor="text1"/>
          <w:sz w:val="26"/>
          <w:szCs w:val="26"/>
        </w:rPr>
        <w:t xml:space="preserve">u </w:t>
      </w:r>
      <w:r w:rsidR="007935F1" w:rsidRPr="001F7009">
        <w:rPr>
          <w:rFonts w:ascii="Times New Roman" w:hAnsi="Times New Roman" w:cs="Times New Roman"/>
          <w:color w:val="000000" w:themeColor="text1"/>
          <w:sz w:val="26"/>
          <w:szCs w:val="26"/>
        </w:rPr>
        <w:t xml:space="preserve">được xếp hạng </w:t>
      </w:r>
      <w:proofErr w:type="gramStart"/>
      <w:r w:rsidR="007935F1" w:rsidRPr="001F7009">
        <w:rPr>
          <w:rFonts w:ascii="Times New Roman" w:hAnsi="Times New Roman" w:cs="Times New Roman"/>
          <w:color w:val="000000" w:themeColor="text1"/>
          <w:sz w:val="26"/>
          <w:szCs w:val="26"/>
        </w:rPr>
        <w:t>theo</w:t>
      </w:r>
      <w:proofErr w:type="gramEnd"/>
      <w:r w:rsidR="007935F1" w:rsidRPr="001F7009">
        <w:rPr>
          <w:rFonts w:ascii="Times New Roman" w:hAnsi="Times New Roman" w:cs="Times New Roman"/>
          <w:color w:val="000000" w:themeColor="text1"/>
          <w:sz w:val="26"/>
          <w:szCs w:val="26"/>
        </w:rPr>
        <w:t xml:space="preserve"> tỷ lệ công suất quốc tế (% số ghế</w:t>
      </w:r>
      <w:r w:rsidR="009E1746" w:rsidRPr="001F7009">
        <w:rPr>
          <w:rFonts w:ascii="Times New Roman" w:hAnsi="Times New Roman" w:cs="Times New Roman"/>
          <w:color w:val="000000" w:themeColor="text1"/>
          <w:sz w:val="26"/>
          <w:szCs w:val="26"/>
        </w:rPr>
        <w:t>)</w:t>
      </w:r>
      <w:bookmarkEnd w:id="20"/>
    </w:p>
    <w:p w:rsidR="007935F1" w:rsidRDefault="007935F1" w:rsidP="009E1746">
      <w:pPr>
        <w:spacing w:before="120" w:after="120" w:line="312" w:lineRule="auto"/>
        <w:jc w:val="both"/>
        <w:rPr>
          <w:rFonts w:ascii="Times New Roman" w:hAnsi="Times New Roman" w:cs="Times New Roman"/>
          <w:sz w:val="26"/>
          <w:szCs w:val="26"/>
        </w:rPr>
      </w:pPr>
      <w:r>
        <w:rPr>
          <w:noProof/>
        </w:rPr>
        <w:drawing>
          <wp:inline distT="0" distB="0" distL="0" distR="0">
            <wp:extent cx="5486400" cy="3087858"/>
            <wp:effectExtent l="0" t="0" r="0" b="0"/>
            <wp:docPr id="3" name="Picture 3" descr="https://images.cdn.centreforaviation.com/stories/2019/Apr/23/Philippines_Countries_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cdn.centreforaviation.com/stories/2019/Apr/23/Philippines_Countries_Sha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087858"/>
                    </a:xfrm>
                    <a:prstGeom prst="rect">
                      <a:avLst/>
                    </a:prstGeom>
                    <a:noFill/>
                    <a:ln>
                      <a:noFill/>
                    </a:ln>
                  </pic:spPr>
                </pic:pic>
              </a:graphicData>
            </a:graphic>
          </wp:inline>
        </w:drawing>
      </w:r>
    </w:p>
    <w:p w:rsidR="00E751FA" w:rsidRPr="007935F1" w:rsidRDefault="00E751FA" w:rsidP="00E751FA">
      <w:pPr>
        <w:spacing w:before="120" w:after="120" w:line="312" w:lineRule="auto"/>
        <w:ind w:firstLine="720"/>
        <w:jc w:val="both"/>
        <w:rPr>
          <w:rFonts w:ascii="Times New Roman" w:hAnsi="Times New Roman" w:cs="Times New Roman"/>
          <w:sz w:val="26"/>
          <w:szCs w:val="26"/>
        </w:rPr>
      </w:pPr>
      <w:proofErr w:type="gramStart"/>
      <w:r w:rsidRPr="007935F1">
        <w:rPr>
          <w:rFonts w:ascii="Times New Roman" w:hAnsi="Times New Roman" w:cs="Times New Roman"/>
          <w:sz w:val="26"/>
          <w:szCs w:val="26"/>
        </w:rPr>
        <w:t>Ba thị trường quốc tế hàng đầu củ</w:t>
      </w:r>
      <w:r>
        <w:rPr>
          <w:rFonts w:ascii="Times New Roman" w:hAnsi="Times New Roman" w:cs="Times New Roman"/>
          <w:sz w:val="26"/>
          <w:szCs w:val="26"/>
        </w:rPr>
        <w:t>a Philippines ở</w:t>
      </w:r>
      <w:r w:rsidRPr="007935F1">
        <w:rPr>
          <w:rFonts w:ascii="Times New Roman" w:hAnsi="Times New Roman" w:cs="Times New Roman"/>
          <w:sz w:val="26"/>
          <w:szCs w:val="26"/>
        </w:rPr>
        <w:t xml:space="preserve"> Bắ</w:t>
      </w:r>
      <w:r>
        <w:rPr>
          <w:rFonts w:ascii="Times New Roman" w:hAnsi="Times New Roman" w:cs="Times New Roman"/>
          <w:sz w:val="26"/>
          <w:szCs w:val="26"/>
        </w:rPr>
        <w:t xml:space="preserve">c Á là </w:t>
      </w:r>
      <w:r w:rsidRPr="007935F1">
        <w:rPr>
          <w:rFonts w:ascii="Times New Roman" w:hAnsi="Times New Roman" w:cs="Times New Roman"/>
          <w:sz w:val="26"/>
          <w:szCs w:val="26"/>
        </w:rPr>
        <w:t>Hàn Quốc, Hồng Kông và Nhật Bản. Trung Quốc và Đài Loan cũng nằ</w:t>
      </w:r>
      <w:r>
        <w:rPr>
          <w:rFonts w:ascii="Times New Roman" w:hAnsi="Times New Roman" w:cs="Times New Roman"/>
          <w:sz w:val="26"/>
          <w:szCs w:val="26"/>
        </w:rPr>
        <w:t>m trong nhóm</w:t>
      </w:r>
      <w:r w:rsidRPr="007935F1">
        <w:rPr>
          <w:rFonts w:ascii="Times New Roman" w:hAnsi="Times New Roman" w:cs="Times New Roman"/>
          <w:sz w:val="26"/>
          <w:szCs w:val="26"/>
        </w:rPr>
        <w:t xml:space="preserve"> sáu</w:t>
      </w:r>
      <w:r>
        <w:rPr>
          <w:rFonts w:ascii="Times New Roman" w:hAnsi="Times New Roman" w:cs="Times New Roman"/>
          <w:sz w:val="26"/>
          <w:szCs w:val="26"/>
        </w:rPr>
        <w:t xml:space="preserve"> thị trường lớn nhất</w:t>
      </w:r>
      <w:r w:rsidRPr="007935F1">
        <w:rPr>
          <w:rFonts w:ascii="Times New Roman" w:hAnsi="Times New Roman" w:cs="Times New Roman"/>
          <w:sz w:val="26"/>
          <w:szCs w:val="26"/>
        </w:rPr>
        <w:t>.</w:t>
      </w:r>
      <w:proofErr w:type="gramEnd"/>
      <w:r w:rsidRPr="007935F1">
        <w:rPr>
          <w:rFonts w:ascii="Times New Roman" w:hAnsi="Times New Roman" w:cs="Times New Roman"/>
          <w:sz w:val="26"/>
          <w:szCs w:val="26"/>
        </w:rPr>
        <w:t xml:space="preserve"> </w:t>
      </w:r>
      <w:proofErr w:type="gramStart"/>
      <w:r w:rsidRPr="007935F1">
        <w:rPr>
          <w:rFonts w:ascii="Times New Roman" w:hAnsi="Times New Roman" w:cs="Times New Roman"/>
          <w:sz w:val="26"/>
          <w:szCs w:val="26"/>
        </w:rPr>
        <w:t>Năm thị trường này kết hợp chiếm 55% tổng công suất ghế quốc tế từ</w:t>
      </w:r>
      <w:r>
        <w:rPr>
          <w:rFonts w:ascii="Times New Roman" w:hAnsi="Times New Roman" w:cs="Times New Roman"/>
          <w:sz w:val="26"/>
          <w:szCs w:val="26"/>
        </w:rPr>
        <w:t xml:space="preserve"> Philippines.</w:t>
      </w:r>
      <w:proofErr w:type="gramEnd"/>
    </w:p>
    <w:p w:rsidR="007935F1" w:rsidRPr="007935F1" w:rsidRDefault="007935F1" w:rsidP="009E1746">
      <w:pPr>
        <w:spacing w:before="120" w:after="120" w:line="312" w:lineRule="auto"/>
        <w:ind w:firstLine="720"/>
        <w:jc w:val="both"/>
        <w:rPr>
          <w:rFonts w:ascii="Times New Roman" w:hAnsi="Times New Roman" w:cs="Times New Roman"/>
          <w:sz w:val="26"/>
          <w:szCs w:val="26"/>
        </w:rPr>
      </w:pPr>
      <w:proofErr w:type="gramStart"/>
      <w:r w:rsidRPr="007935F1">
        <w:rPr>
          <w:rFonts w:ascii="Times New Roman" w:hAnsi="Times New Roman" w:cs="Times New Roman"/>
          <w:sz w:val="26"/>
          <w:szCs w:val="26"/>
        </w:rPr>
        <w:t>LCC rất phù hợp với thị trường Philippines-Bắc Á vì đây chủ yếu là thị trường giải trí trong nước, chủ yếu là du lịch.</w:t>
      </w:r>
      <w:proofErr w:type="gramEnd"/>
      <w:r w:rsidRPr="007935F1">
        <w:rPr>
          <w:rFonts w:ascii="Times New Roman" w:hAnsi="Times New Roman" w:cs="Times New Roman"/>
          <w:sz w:val="26"/>
          <w:szCs w:val="26"/>
        </w:rPr>
        <w:t xml:space="preserve"> Một phần lớn của thị trường nước ngoài nhỏ hơn cũng bao gồm lưu lượng </w:t>
      </w:r>
      <w:proofErr w:type="gramStart"/>
      <w:r w:rsidRPr="007935F1">
        <w:rPr>
          <w:rFonts w:ascii="Times New Roman" w:hAnsi="Times New Roman" w:cs="Times New Roman"/>
          <w:sz w:val="26"/>
          <w:szCs w:val="26"/>
        </w:rPr>
        <w:t>lao</w:t>
      </w:r>
      <w:proofErr w:type="gramEnd"/>
      <w:r w:rsidRPr="007935F1">
        <w:rPr>
          <w:rFonts w:ascii="Times New Roman" w:hAnsi="Times New Roman" w:cs="Times New Roman"/>
          <w:sz w:val="26"/>
          <w:szCs w:val="26"/>
        </w:rPr>
        <w:t xml:space="preserve"> động nhạy cảm về giá (người Philippines làm việc ở Bắ</w:t>
      </w:r>
      <w:r w:rsidR="009E1746">
        <w:rPr>
          <w:rFonts w:ascii="Times New Roman" w:hAnsi="Times New Roman" w:cs="Times New Roman"/>
          <w:sz w:val="26"/>
          <w:szCs w:val="26"/>
        </w:rPr>
        <w:t>c Á).</w:t>
      </w:r>
    </w:p>
    <w:p w:rsidR="007935F1" w:rsidRPr="007935F1" w:rsidRDefault="007935F1" w:rsidP="009E1746">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lastRenderedPageBreak/>
        <w:t xml:space="preserve">Trong khi Philippines là một phần của Đông Nam Á, thì sự gần </w:t>
      </w:r>
      <w:proofErr w:type="gramStart"/>
      <w:r w:rsidRPr="007935F1">
        <w:rPr>
          <w:rFonts w:ascii="Times New Roman" w:hAnsi="Times New Roman" w:cs="Times New Roman"/>
          <w:sz w:val="26"/>
          <w:szCs w:val="26"/>
        </w:rPr>
        <w:t>gũi</w:t>
      </w:r>
      <w:proofErr w:type="gramEnd"/>
      <w:r w:rsidRPr="007935F1">
        <w:rPr>
          <w:rFonts w:ascii="Times New Roman" w:hAnsi="Times New Roman" w:cs="Times New Roman"/>
          <w:sz w:val="26"/>
          <w:szCs w:val="26"/>
        </w:rPr>
        <w:t xml:space="preserve"> của nó với Bắc Á cho phép toàn bộ khu vực nằm trong phạm vi hẹp. </w:t>
      </w:r>
      <w:proofErr w:type="gramStart"/>
      <w:r w:rsidRPr="007935F1">
        <w:rPr>
          <w:rFonts w:ascii="Times New Roman" w:hAnsi="Times New Roman" w:cs="Times New Roman"/>
          <w:sz w:val="26"/>
          <w:szCs w:val="26"/>
        </w:rPr>
        <w:t>Đây là một thành phần quan trọng trong việc đạt được tỷ lệ thâm nhập LCC cao bởi vì hầu hết các LCC không vận hành máy bay thân rộng.</w:t>
      </w:r>
      <w:proofErr w:type="gramEnd"/>
      <w:r w:rsidRPr="007935F1">
        <w:rPr>
          <w:rFonts w:ascii="Times New Roman" w:hAnsi="Times New Roman" w:cs="Times New Roman"/>
          <w:sz w:val="26"/>
          <w:szCs w:val="26"/>
        </w:rPr>
        <w:t xml:space="preserve"> </w:t>
      </w:r>
      <w:proofErr w:type="gramStart"/>
      <w:r w:rsidRPr="007935F1">
        <w:rPr>
          <w:rFonts w:ascii="Times New Roman" w:hAnsi="Times New Roman" w:cs="Times New Roman"/>
          <w:sz w:val="26"/>
          <w:szCs w:val="26"/>
        </w:rPr>
        <w:t>Trong số 12 LCC cạnh tranh tại thị trường Philippines-Bắc Á, chỉ có hai (Cebu Pacific và Jin Air) có máy bay thân rộ</w:t>
      </w:r>
      <w:r w:rsidR="009E1746">
        <w:rPr>
          <w:rFonts w:ascii="Times New Roman" w:hAnsi="Times New Roman" w:cs="Times New Roman"/>
          <w:sz w:val="26"/>
          <w:szCs w:val="26"/>
        </w:rPr>
        <w:t>ng.</w:t>
      </w:r>
      <w:proofErr w:type="gramEnd"/>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Nếu không có những hạn chế về vị trí tại Manila, LCC có thể sẽ có một phần công suất thậm chí còn lớn hơn ở thị trường Philippines-Bắc Á. Manila chiếm 65% công suất ghế của Philippines-Bắc Á nhưng 58% số lượng phong trào nhỏ hơn. LCC chỉ có 33% thị phần chỗ ngồi tại thị trường Bắc Á Manila-Philippines, so với 60% thị phần của thị trườ</w:t>
      </w:r>
      <w:r>
        <w:rPr>
          <w:rFonts w:ascii="Times New Roman" w:hAnsi="Times New Roman" w:cs="Times New Roman"/>
          <w:sz w:val="26"/>
          <w:szCs w:val="26"/>
        </w:rPr>
        <w:t>ng ngoài Manila-Philippines.</w:t>
      </w:r>
    </w:p>
    <w:p w:rsidR="007935F1" w:rsidRPr="00E751FA" w:rsidRDefault="007935F1" w:rsidP="007935F1">
      <w:pPr>
        <w:spacing w:before="120" w:after="120" w:line="312" w:lineRule="auto"/>
        <w:ind w:firstLine="720"/>
        <w:jc w:val="both"/>
        <w:rPr>
          <w:rFonts w:ascii="Times New Roman" w:hAnsi="Times New Roman" w:cs="Times New Roman"/>
          <w:b/>
          <w:sz w:val="26"/>
          <w:szCs w:val="26"/>
        </w:rPr>
      </w:pPr>
      <w:r w:rsidRPr="00E751FA">
        <w:rPr>
          <w:rFonts w:ascii="Times New Roman" w:hAnsi="Times New Roman" w:cs="Times New Roman"/>
          <w:b/>
          <w:sz w:val="26"/>
          <w:szCs w:val="26"/>
        </w:rPr>
        <w:t>Bảy sân bay của Philippines có dịch vụ đến Bắc Á</w:t>
      </w:r>
    </w:p>
    <w:p w:rsidR="007935F1" w:rsidRP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Bảy sân bay ở Philippines có dịch vụ đến Bắc Á. Cebu là cửa ngõ lớn thứ hai, chiếm 19% công suất ghế của Philippines-Bắc Á. Tỷ lệ LCC của công suất Cebu-Bắ</w:t>
      </w:r>
      <w:r>
        <w:rPr>
          <w:rFonts w:ascii="Times New Roman" w:hAnsi="Times New Roman" w:cs="Times New Roman"/>
          <w:sz w:val="26"/>
          <w:szCs w:val="26"/>
        </w:rPr>
        <w:t>c Á là 54%.</w:t>
      </w:r>
    </w:p>
    <w:p w:rsidR="007935F1" w:rsidRDefault="007935F1" w:rsidP="007935F1">
      <w:pPr>
        <w:spacing w:before="120" w:after="120" w:line="312" w:lineRule="auto"/>
        <w:ind w:firstLine="720"/>
        <w:jc w:val="both"/>
        <w:rPr>
          <w:rFonts w:ascii="Times New Roman" w:hAnsi="Times New Roman" w:cs="Times New Roman"/>
          <w:sz w:val="26"/>
          <w:szCs w:val="26"/>
        </w:rPr>
      </w:pPr>
      <w:r w:rsidRPr="007935F1">
        <w:rPr>
          <w:rFonts w:ascii="Times New Roman" w:hAnsi="Times New Roman" w:cs="Times New Roman"/>
          <w:sz w:val="26"/>
          <w:szCs w:val="26"/>
        </w:rPr>
        <w:t>Các sân bay khác của Philippines có dịch vụ đến Bắc Á là Kalibo, Clark, Puerto Princesa, Tagbilaran và Iloilo. LCC chiếm hai phần ba sức chứa của</w:t>
      </w:r>
      <w:r w:rsidR="00F74E5E">
        <w:rPr>
          <w:rFonts w:ascii="Times New Roman" w:hAnsi="Times New Roman" w:cs="Times New Roman"/>
          <w:sz w:val="26"/>
          <w:szCs w:val="26"/>
        </w:rPr>
        <w:t xml:space="preserve"> các hãng hàng không</w:t>
      </w:r>
      <w:r w:rsidRPr="007935F1">
        <w:rPr>
          <w:rFonts w:ascii="Times New Roman" w:hAnsi="Times New Roman" w:cs="Times New Roman"/>
          <w:sz w:val="26"/>
          <w:szCs w:val="26"/>
        </w:rPr>
        <w:t xml:space="preserve"> Bắc Á tại năm sân bay này, mặc dù một trong những sân </w:t>
      </w:r>
      <w:proofErr w:type="gramStart"/>
      <w:r w:rsidRPr="007935F1">
        <w:rPr>
          <w:rFonts w:ascii="Times New Roman" w:hAnsi="Times New Roman" w:cs="Times New Roman"/>
          <w:sz w:val="26"/>
          <w:szCs w:val="26"/>
        </w:rPr>
        <w:t>bay (Tagbilaran) chỉ có các dịch vụ quốc tế do</w:t>
      </w:r>
      <w:proofErr w:type="gramEnd"/>
      <w:r w:rsidRPr="007935F1">
        <w:rPr>
          <w:rFonts w:ascii="Times New Roman" w:hAnsi="Times New Roman" w:cs="Times New Roman"/>
          <w:sz w:val="26"/>
          <w:szCs w:val="26"/>
        </w:rPr>
        <w:t xml:space="preserve"> FSC vận hành.</w:t>
      </w:r>
    </w:p>
    <w:p w:rsidR="007935F1" w:rsidRPr="00F74E5E" w:rsidRDefault="00E751FA" w:rsidP="00F74E5E">
      <w:pPr>
        <w:spacing w:before="120" w:after="120" w:line="312" w:lineRule="auto"/>
        <w:ind w:firstLine="720"/>
        <w:jc w:val="center"/>
        <w:rPr>
          <w:rFonts w:ascii="Times New Roman" w:hAnsi="Times New Roman" w:cs="Times New Roman"/>
          <w:b/>
          <w:sz w:val="26"/>
          <w:szCs w:val="26"/>
        </w:rPr>
      </w:pPr>
      <w:r w:rsidRPr="00E751FA">
        <w:rPr>
          <w:rFonts w:ascii="Times New Roman" w:hAnsi="Times New Roman" w:cs="Times New Roman"/>
          <w:b/>
          <w:sz w:val="26"/>
          <w:szCs w:val="26"/>
        </w:rPr>
        <w:t>Bảng 1: Số ghế trung bình/tuần của các hãng bay</w:t>
      </w:r>
    </w:p>
    <w:tbl>
      <w:tblPr>
        <w:tblW w:w="8970"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2665"/>
        <w:gridCol w:w="771"/>
        <w:gridCol w:w="1400"/>
        <w:gridCol w:w="1786"/>
        <w:gridCol w:w="1735"/>
      </w:tblGrid>
      <w:tr w:rsidR="007935F1" w:rsidRPr="001F7009" w:rsidTr="009E1746">
        <w:trPr>
          <w:trHeight w:val="480"/>
          <w:tblHeader/>
        </w:trPr>
        <w:tc>
          <w:tcPr>
            <w:tcW w:w="576" w:type="dxa"/>
            <w:shd w:val="clear" w:color="auto" w:fill="00529F"/>
            <w:tcMar>
              <w:top w:w="60" w:type="dxa"/>
              <w:left w:w="60" w:type="dxa"/>
              <w:bottom w:w="60" w:type="dxa"/>
              <w:right w:w="60" w:type="dxa"/>
            </w:tcMar>
            <w:vAlign w:val="center"/>
            <w:hideMark/>
          </w:tcPr>
          <w:p w:rsidR="007935F1" w:rsidRPr="001F7009" w:rsidRDefault="007935F1" w:rsidP="007935F1">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STT</w:t>
            </w:r>
          </w:p>
        </w:tc>
        <w:tc>
          <w:tcPr>
            <w:tcW w:w="2687" w:type="dxa"/>
            <w:shd w:val="clear" w:color="auto" w:fill="00529F"/>
            <w:tcMar>
              <w:top w:w="60" w:type="dxa"/>
              <w:left w:w="60" w:type="dxa"/>
              <w:bottom w:w="60" w:type="dxa"/>
              <w:right w:w="60" w:type="dxa"/>
            </w:tcMar>
            <w:vAlign w:val="center"/>
            <w:hideMark/>
          </w:tcPr>
          <w:p w:rsidR="007935F1" w:rsidRPr="001F7009" w:rsidRDefault="009E1746">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Sân bay</w:t>
            </w:r>
          </w:p>
        </w:tc>
        <w:tc>
          <w:tcPr>
            <w:tcW w:w="742" w:type="dxa"/>
            <w:shd w:val="clear" w:color="auto" w:fill="00529F"/>
            <w:tcMar>
              <w:top w:w="60" w:type="dxa"/>
              <w:left w:w="60" w:type="dxa"/>
              <w:bottom w:w="60" w:type="dxa"/>
              <w:right w:w="60" w:type="dxa"/>
            </w:tcMar>
            <w:vAlign w:val="center"/>
            <w:hideMark/>
          </w:tcPr>
          <w:p w:rsidR="007935F1" w:rsidRPr="001F7009" w:rsidRDefault="009E1746">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Mã theo IATA</w:t>
            </w:r>
          </w:p>
        </w:tc>
        <w:tc>
          <w:tcPr>
            <w:tcW w:w="1408" w:type="dxa"/>
            <w:shd w:val="clear" w:color="auto" w:fill="00529F"/>
            <w:tcMar>
              <w:top w:w="60" w:type="dxa"/>
              <w:left w:w="60" w:type="dxa"/>
              <w:bottom w:w="60" w:type="dxa"/>
              <w:right w:w="60" w:type="dxa"/>
            </w:tcMar>
            <w:vAlign w:val="center"/>
            <w:hideMark/>
          </w:tcPr>
          <w:p w:rsidR="007935F1" w:rsidRPr="001F7009" w:rsidRDefault="009E1746">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Số ghế tron</w:t>
            </w:r>
            <w:r w:rsidR="00E751FA">
              <w:rPr>
                <w:rFonts w:ascii="Times New Roman" w:hAnsi="Times New Roman" w:cs="Times New Roman"/>
                <w:b/>
                <w:bCs/>
                <w:color w:val="FFFFFF"/>
                <w:sz w:val="26"/>
                <w:szCs w:val="26"/>
              </w:rPr>
              <w:t>g</w:t>
            </w:r>
            <w:r w:rsidRPr="001F7009">
              <w:rPr>
                <w:rFonts w:ascii="Times New Roman" w:hAnsi="Times New Roman" w:cs="Times New Roman"/>
                <w:b/>
                <w:bCs/>
                <w:color w:val="FFFFFF"/>
                <w:sz w:val="26"/>
                <w:szCs w:val="26"/>
              </w:rPr>
              <w:t xml:space="preserve"> tuần</w:t>
            </w:r>
          </w:p>
        </w:tc>
        <w:tc>
          <w:tcPr>
            <w:tcW w:w="1804" w:type="dxa"/>
            <w:shd w:val="clear" w:color="auto" w:fill="00529F"/>
            <w:tcMar>
              <w:top w:w="60" w:type="dxa"/>
              <w:left w:w="60" w:type="dxa"/>
              <w:bottom w:w="60" w:type="dxa"/>
              <w:right w:w="60" w:type="dxa"/>
            </w:tcMar>
            <w:vAlign w:val="center"/>
            <w:hideMark/>
          </w:tcPr>
          <w:p w:rsidR="007935F1" w:rsidRPr="001F7009" w:rsidRDefault="009E1746">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Tỷ trọng trong tổng số ghế</w:t>
            </w:r>
          </w:p>
        </w:tc>
        <w:tc>
          <w:tcPr>
            <w:tcW w:w="1753" w:type="dxa"/>
            <w:shd w:val="clear" w:color="auto" w:fill="00529F"/>
            <w:tcMar>
              <w:top w:w="60" w:type="dxa"/>
              <w:left w:w="60" w:type="dxa"/>
              <w:bottom w:w="60" w:type="dxa"/>
              <w:right w:w="60" w:type="dxa"/>
            </w:tcMar>
            <w:vAlign w:val="center"/>
            <w:hideMark/>
          </w:tcPr>
          <w:p w:rsidR="007935F1" w:rsidRPr="001F7009" w:rsidRDefault="009E1746">
            <w:pPr>
              <w:jc w:val="center"/>
              <w:rPr>
                <w:rFonts w:ascii="Times New Roman" w:hAnsi="Times New Roman" w:cs="Times New Roman"/>
                <w:b/>
                <w:bCs/>
                <w:color w:val="FFFFFF"/>
                <w:sz w:val="26"/>
                <w:szCs w:val="26"/>
              </w:rPr>
            </w:pPr>
            <w:r w:rsidRPr="001F7009">
              <w:rPr>
                <w:rFonts w:ascii="Times New Roman" w:hAnsi="Times New Roman" w:cs="Times New Roman"/>
                <w:b/>
                <w:bCs/>
                <w:color w:val="FFFFFF"/>
                <w:sz w:val="26"/>
                <w:szCs w:val="26"/>
              </w:rPr>
              <w:t>Tỷ trọng của các LCC</w:t>
            </w:r>
          </w:p>
        </w:tc>
      </w:tr>
      <w:tr w:rsidR="007935F1" w:rsidRPr="001F7009" w:rsidTr="009E1746">
        <w:trPr>
          <w:trHeight w:val="480"/>
        </w:trPr>
        <w:tc>
          <w:tcPr>
            <w:tcW w:w="576"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1</w:t>
            </w:r>
          </w:p>
        </w:tc>
        <w:tc>
          <w:tcPr>
            <w:tcW w:w="2687" w:type="dxa"/>
            <w:shd w:val="clear" w:color="auto" w:fill="FFFFFF"/>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Manila Ninoy Aquino International</w:t>
            </w:r>
          </w:p>
        </w:tc>
        <w:tc>
          <w:tcPr>
            <w:tcW w:w="742"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MNL</w:t>
            </w:r>
          </w:p>
        </w:tc>
        <w:tc>
          <w:tcPr>
            <w:tcW w:w="1408"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286,753</w:t>
            </w:r>
          </w:p>
        </w:tc>
        <w:tc>
          <w:tcPr>
            <w:tcW w:w="1804"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64.8%</w:t>
            </w:r>
          </w:p>
        </w:tc>
        <w:tc>
          <w:tcPr>
            <w:tcW w:w="1753"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33%</w:t>
            </w:r>
          </w:p>
        </w:tc>
      </w:tr>
      <w:tr w:rsidR="007935F1" w:rsidRPr="001F7009" w:rsidTr="009E1746">
        <w:trPr>
          <w:trHeight w:val="240"/>
        </w:trPr>
        <w:tc>
          <w:tcPr>
            <w:tcW w:w="576"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2</w:t>
            </w:r>
          </w:p>
        </w:tc>
        <w:tc>
          <w:tcPr>
            <w:tcW w:w="2687" w:type="dxa"/>
            <w:shd w:val="clear" w:color="auto" w:fill="F3F3F3"/>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Mactan-Cebu International</w:t>
            </w:r>
          </w:p>
        </w:tc>
        <w:tc>
          <w:tcPr>
            <w:tcW w:w="742"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CEB</w:t>
            </w:r>
          </w:p>
        </w:tc>
        <w:tc>
          <w:tcPr>
            <w:tcW w:w="1408"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85,505</w:t>
            </w:r>
          </w:p>
        </w:tc>
        <w:tc>
          <w:tcPr>
            <w:tcW w:w="1804"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19.4%</w:t>
            </w:r>
          </w:p>
        </w:tc>
        <w:tc>
          <w:tcPr>
            <w:tcW w:w="1753"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54%</w:t>
            </w:r>
          </w:p>
        </w:tc>
      </w:tr>
      <w:tr w:rsidR="007935F1" w:rsidRPr="001F7009" w:rsidTr="009E1746">
        <w:trPr>
          <w:trHeight w:val="240"/>
        </w:trPr>
        <w:tc>
          <w:tcPr>
            <w:tcW w:w="576"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3</w:t>
            </w:r>
          </w:p>
        </w:tc>
        <w:tc>
          <w:tcPr>
            <w:tcW w:w="2687" w:type="dxa"/>
            <w:shd w:val="clear" w:color="auto" w:fill="FFFFFF"/>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Kalibo</w:t>
            </w:r>
          </w:p>
        </w:tc>
        <w:tc>
          <w:tcPr>
            <w:tcW w:w="742"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KLO</w:t>
            </w:r>
          </w:p>
        </w:tc>
        <w:tc>
          <w:tcPr>
            <w:tcW w:w="1408"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35,637</w:t>
            </w:r>
          </w:p>
        </w:tc>
        <w:tc>
          <w:tcPr>
            <w:tcW w:w="1804"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8.0%</w:t>
            </w:r>
          </w:p>
        </w:tc>
        <w:tc>
          <w:tcPr>
            <w:tcW w:w="1753"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65%</w:t>
            </w:r>
          </w:p>
        </w:tc>
      </w:tr>
      <w:tr w:rsidR="007935F1" w:rsidRPr="001F7009" w:rsidTr="009E1746">
        <w:trPr>
          <w:trHeight w:val="240"/>
        </w:trPr>
        <w:tc>
          <w:tcPr>
            <w:tcW w:w="576"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lastRenderedPageBreak/>
              <w:t>4</w:t>
            </w:r>
          </w:p>
        </w:tc>
        <w:tc>
          <w:tcPr>
            <w:tcW w:w="2687" w:type="dxa"/>
            <w:shd w:val="clear" w:color="auto" w:fill="F3F3F3"/>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Clark International</w:t>
            </w:r>
          </w:p>
        </w:tc>
        <w:tc>
          <w:tcPr>
            <w:tcW w:w="742"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CRK</w:t>
            </w:r>
          </w:p>
        </w:tc>
        <w:tc>
          <w:tcPr>
            <w:tcW w:w="1408"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25,456</w:t>
            </w:r>
          </w:p>
        </w:tc>
        <w:tc>
          <w:tcPr>
            <w:tcW w:w="1804"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6%</w:t>
            </w:r>
          </w:p>
        </w:tc>
        <w:tc>
          <w:tcPr>
            <w:tcW w:w="1753"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73%</w:t>
            </w:r>
          </w:p>
        </w:tc>
      </w:tr>
      <w:tr w:rsidR="007935F1" w:rsidRPr="001F7009" w:rsidTr="009E1746">
        <w:tc>
          <w:tcPr>
            <w:tcW w:w="576"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5</w:t>
            </w:r>
          </w:p>
        </w:tc>
        <w:tc>
          <w:tcPr>
            <w:tcW w:w="2687" w:type="dxa"/>
            <w:shd w:val="clear" w:color="auto" w:fill="FFFFFF"/>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Puerto Princesa </w:t>
            </w:r>
          </w:p>
        </w:tc>
        <w:tc>
          <w:tcPr>
            <w:tcW w:w="742"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PPS</w:t>
            </w:r>
          </w:p>
        </w:tc>
        <w:tc>
          <w:tcPr>
            <w:tcW w:w="1408"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2,926</w:t>
            </w:r>
          </w:p>
        </w:tc>
        <w:tc>
          <w:tcPr>
            <w:tcW w:w="1804"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0.6%</w:t>
            </w:r>
          </w:p>
        </w:tc>
        <w:tc>
          <w:tcPr>
            <w:tcW w:w="1753"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89%</w:t>
            </w:r>
          </w:p>
        </w:tc>
      </w:tr>
      <w:tr w:rsidR="007935F1" w:rsidRPr="001F7009" w:rsidTr="009E1746">
        <w:tc>
          <w:tcPr>
            <w:tcW w:w="576"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6</w:t>
            </w:r>
          </w:p>
        </w:tc>
        <w:tc>
          <w:tcPr>
            <w:tcW w:w="2687" w:type="dxa"/>
            <w:shd w:val="clear" w:color="auto" w:fill="F3F3F3"/>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Tagbilaran (</w:t>
            </w:r>
            <w:hyperlink r:id="rId14" w:tooltip="More information on Bohol" w:history="1">
              <w:r w:rsidRPr="001F7009">
                <w:rPr>
                  <w:rStyle w:val="Hyperlink"/>
                  <w:rFonts w:ascii="Times New Roman" w:hAnsi="Times New Roman" w:cs="Times New Roman"/>
                  <w:color w:val="00529F"/>
                  <w:sz w:val="26"/>
                  <w:szCs w:val="26"/>
                </w:rPr>
                <w:t>Bohol</w:t>
              </w:r>
            </w:hyperlink>
            <w:r w:rsidRPr="001F7009">
              <w:rPr>
                <w:rFonts w:ascii="Times New Roman" w:hAnsi="Times New Roman" w:cs="Times New Roman"/>
                <w:color w:val="000000"/>
                <w:sz w:val="26"/>
                <w:szCs w:val="26"/>
              </w:rPr>
              <w:t>-Panglao)  </w:t>
            </w:r>
          </w:p>
        </w:tc>
        <w:tc>
          <w:tcPr>
            <w:tcW w:w="742"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hyperlink r:id="rId15" w:tooltip="More information on TAG" w:history="1">
              <w:r w:rsidRPr="001F7009">
                <w:rPr>
                  <w:rStyle w:val="Hyperlink"/>
                  <w:rFonts w:ascii="Times New Roman" w:hAnsi="Times New Roman" w:cs="Times New Roman"/>
                  <w:color w:val="00529F"/>
                  <w:sz w:val="26"/>
                  <w:szCs w:val="26"/>
                </w:rPr>
                <w:t>TAG</w:t>
              </w:r>
            </w:hyperlink>
          </w:p>
        </w:tc>
        <w:tc>
          <w:tcPr>
            <w:tcW w:w="1408"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2,520</w:t>
            </w:r>
          </w:p>
        </w:tc>
        <w:tc>
          <w:tcPr>
            <w:tcW w:w="1804"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0.6%</w:t>
            </w:r>
          </w:p>
        </w:tc>
        <w:tc>
          <w:tcPr>
            <w:tcW w:w="1753" w:type="dxa"/>
            <w:shd w:val="clear" w:color="auto" w:fill="F3F3F3"/>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0%</w:t>
            </w:r>
          </w:p>
        </w:tc>
      </w:tr>
      <w:tr w:rsidR="007935F1" w:rsidRPr="001F7009" w:rsidTr="009E1746">
        <w:tc>
          <w:tcPr>
            <w:tcW w:w="576"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7</w:t>
            </w:r>
          </w:p>
        </w:tc>
        <w:tc>
          <w:tcPr>
            <w:tcW w:w="2687" w:type="dxa"/>
            <w:shd w:val="clear" w:color="auto" w:fill="FFFFFF"/>
            <w:tcMar>
              <w:top w:w="60" w:type="dxa"/>
              <w:left w:w="60" w:type="dxa"/>
              <w:bottom w:w="60" w:type="dxa"/>
              <w:right w:w="60" w:type="dxa"/>
            </w:tcMar>
            <w:vAlign w:val="center"/>
            <w:hideMark/>
          </w:tcPr>
          <w:p w:rsidR="007935F1" w:rsidRPr="001F7009" w:rsidRDefault="007935F1" w:rsidP="007935F1">
            <w:pPr>
              <w:rPr>
                <w:rFonts w:ascii="Times New Roman" w:hAnsi="Times New Roman" w:cs="Times New Roman"/>
                <w:color w:val="000000"/>
                <w:sz w:val="26"/>
                <w:szCs w:val="26"/>
              </w:rPr>
            </w:pPr>
            <w:r w:rsidRPr="001F7009">
              <w:rPr>
                <w:rFonts w:ascii="Times New Roman" w:hAnsi="Times New Roman" w:cs="Times New Roman"/>
                <w:color w:val="000000"/>
                <w:sz w:val="26"/>
                <w:szCs w:val="26"/>
              </w:rPr>
              <w:t>Iloilo</w:t>
            </w:r>
          </w:p>
        </w:tc>
        <w:tc>
          <w:tcPr>
            <w:tcW w:w="742"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ILO</w:t>
            </w:r>
          </w:p>
        </w:tc>
        <w:tc>
          <w:tcPr>
            <w:tcW w:w="1408"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1,074</w:t>
            </w:r>
          </w:p>
        </w:tc>
        <w:tc>
          <w:tcPr>
            <w:tcW w:w="1804"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0.2%</w:t>
            </w:r>
          </w:p>
        </w:tc>
        <w:tc>
          <w:tcPr>
            <w:tcW w:w="1753" w:type="dxa"/>
            <w:shd w:val="clear" w:color="auto" w:fill="FFFFFF"/>
            <w:tcMar>
              <w:top w:w="60" w:type="dxa"/>
              <w:left w:w="60" w:type="dxa"/>
              <w:bottom w:w="60" w:type="dxa"/>
              <w:right w:w="60" w:type="dxa"/>
            </w:tcMar>
            <w:vAlign w:val="center"/>
            <w:hideMark/>
          </w:tcPr>
          <w:p w:rsidR="007935F1" w:rsidRPr="001F7009" w:rsidRDefault="007935F1">
            <w:pPr>
              <w:jc w:val="center"/>
              <w:rPr>
                <w:rFonts w:ascii="Times New Roman" w:hAnsi="Times New Roman" w:cs="Times New Roman"/>
                <w:color w:val="000000"/>
                <w:sz w:val="26"/>
                <w:szCs w:val="26"/>
              </w:rPr>
            </w:pPr>
            <w:r w:rsidRPr="001F7009">
              <w:rPr>
                <w:rFonts w:ascii="Times New Roman" w:hAnsi="Times New Roman" w:cs="Times New Roman"/>
                <w:color w:val="000000"/>
                <w:sz w:val="26"/>
                <w:szCs w:val="26"/>
              </w:rPr>
              <w:t>100%</w:t>
            </w:r>
          </w:p>
        </w:tc>
      </w:tr>
    </w:tbl>
    <w:p w:rsidR="009E1746" w:rsidRPr="009E1746"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 xml:space="preserve">Trong khi Philippines hiện đang được phục vụ bởi chín LCC Bắc Á, hiện có 24 LCC Bắc Á và một số dự </w:t>
      </w:r>
      <w:proofErr w:type="gramStart"/>
      <w:r w:rsidRPr="009E1746">
        <w:rPr>
          <w:rFonts w:ascii="Times New Roman" w:hAnsi="Times New Roman" w:cs="Times New Roman"/>
          <w:sz w:val="26"/>
          <w:szCs w:val="26"/>
        </w:rPr>
        <w:t>án</w:t>
      </w:r>
      <w:proofErr w:type="gramEnd"/>
      <w:r w:rsidRPr="009E1746">
        <w:rPr>
          <w:rFonts w:ascii="Times New Roman" w:hAnsi="Times New Roman" w:cs="Times New Roman"/>
          <w:sz w:val="26"/>
          <w:szCs w:val="26"/>
        </w:rPr>
        <w:t xml:space="preserve"> khởi nghiệp đang chuẩn bị bắt đầu hoạt độ</w:t>
      </w:r>
      <w:r>
        <w:rPr>
          <w:rFonts w:ascii="Times New Roman" w:hAnsi="Times New Roman" w:cs="Times New Roman"/>
          <w:sz w:val="26"/>
          <w:szCs w:val="26"/>
        </w:rPr>
        <w:t>ng.</w:t>
      </w:r>
    </w:p>
    <w:p w:rsidR="009E1746" w:rsidRPr="009E1746" w:rsidRDefault="00E751FA" w:rsidP="009E174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w:t>
      </w:r>
      <w:r w:rsidR="009E1746" w:rsidRPr="009E1746">
        <w:rPr>
          <w:rFonts w:ascii="Times New Roman" w:hAnsi="Times New Roman" w:cs="Times New Roman"/>
          <w:sz w:val="26"/>
          <w:szCs w:val="26"/>
        </w:rPr>
        <w:t xml:space="preserve">LCC Trung Quốc đặc biệt được nhắm đến bởi Mactan-Cebu và các sân bay khác của Philippines. </w:t>
      </w:r>
      <w:proofErr w:type="gramStart"/>
      <w:r w:rsidR="009E1746" w:rsidRPr="009E1746">
        <w:rPr>
          <w:rFonts w:ascii="Times New Roman" w:hAnsi="Times New Roman" w:cs="Times New Roman"/>
          <w:sz w:val="26"/>
          <w:szCs w:val="26"/>
        </w:rPr>
        <w:t>Hiện tại chỉ có một trong số 11 LCC của Trung Quốc phục vụ Philippines.</w:t>
      </w:r>
      <w:proofErr w:type="gramEnd"/>
      <w:r w:rsidR="009E1746" w:rsidRPr="009E1746">
        <w:rPr>
          <w:rFonts w:ascii="Times New Roman" w:hAnsi="Times New Roman" w:cs="Times New Roman"/>
          <w:sz w:val="26"/>
          <w:szCs w:val="26"/>
        </w:rPr>
        <w:t xml:space="preserve"> Philippines đặc biệt là mộ</w:t>
      </w:r>
      <w:r>
        <w:rPr>
          <w:rFonts w:ascii="Times New Roman" w:hAnsi="Times New Roman" w:cs="Times New Roman"/>
          <w:sz w:val="26"/>
          <w:szCs w:val="26"/>
        </w:rPr>
        <w:t>t thị trường mục tiêu</w:t>
      </w:r>
      <w:r w:rsidR="009E1746" w:rsidRPr="009E1746">
        <w:rPr>
          <w:rFonts w:ascii="Times New Roman" w:hAnsi="Times New Roman" w:cs="Times New Roman"/>
          <w:sz w:val="26"/>
          <w:szCs w:val="26"/>
        </w:rPr>
        <w:t xml:space="preserve"> rõ ràng cho Spring Airlines, LCC lớn nhấ</w:t>
      </w:r>
      <w:r>
        <w:rPr>
          <w:rFonts w:ascii="Times New Roman" w:hAnsi="Times New Roman" w:cs="Times New Roman"/>
          <w:sz w:val="26"/>
          <w:szCs w:val="26"/>
        </w:rPr>
        <w:t xml:space="preserve">t </w:t>
      </w:r>
      <w:r w:rsidR="009E1746" w:rsidRPr="009E1746">
        <w:rPr>
          <w:rFonts w:ascii="Times New Roman" w:hAnsi="Times New Roman" w:cs="Times New Roman"/>
          <w:sz w:val="26"/>
          <w:szCs w:val="26"/>
        </w:rPr>
        <w:t>của Trung Quốc.</w:t>
      </w:r>
    </w:p>
    <w:p w:rsidR="00EF5EDA" w:rsidRDefault="009E1746" w:rsidP="009E1746">
      <w:pPr>
        <w:spacing w:before="120" w:after="120" w:line="312" w:lineRule="auto"/>
        <w:ind w:firstLine="720"/>
        <w:jc w:val="both"/>
        <w:rPr>
          <w:rFonts w:ascii="Times New Roman" w:hAnsi="Times New Roman" w:cs="Times New Roman"/>
          <w:sz w:val="26"/>
          <w:szCs w:val="26"/>
        </w:rPr>
      </w:pPr>
      <w:proofErr w:type="gramStart"/>
      <w:r w:rsidRPr="009E1746">
        <w:rPr>
          <w:rFonts w:ascii="Times New Roman" w:hAnsi="Times New Roman" w:cs="Times New Roman"/>
          <w:sz w:val="26"/>
          <w:szCs w:val="26"/>
        </w:rPr>
        <w:t xml:space="preserve">Chín </w:t>
      </w:r>
      <w:r>
        <w:rPr>
          <w:rFonts w:ascii="Times New Roman" w:hAnsi="Times New Roman" w:cs="Times New Roman"/>
          <w:sz w:val="26"/>
          <w:szCs w:val="26"/>
        </w:rPr>
        <w:t xml:space="preserve">hãng hàng không giá rẻ </w:t>
      </w:r>
      <w:r w:rsidRPr="009E1746">
        <w:rPr>
          <w:rFonts w:ascii="Times New Roman" w:hAnsi="Times New Roman" w:cs="Times New Roman"/>
          <w:sz w:val="26"/>
          <w:szCs w:val="26"/>
        </w:rPr>
        <w:t xml:space="preserve">Bắc Á đã </w:t>
      </w:r>
      <w:r w:rsidR="00E751FA">
        <w:rPr>
          <w:rFonts w:ascii="Times New Roman" w:hAnsi="Times New Roman" w:cs="Times New Roman"/>
          <w:sz w:val="26"/>
          <w:szCs w:val="26"/>
        </w:rPr>
        <w:t>khai thác thị trường</w:t>
      </w:r>
      <w:r w:rsidRPr="009E1746">
        <w:rPr>
          <w:rFonts w:ascii="Times New Roman" w:hAnsi="Times New Roman" w:cs="Times New Roman"/>
          <w:sz w:val="26"/>
          <w:szCs w:val="26"/>
        </w:rPr>
        <w:t xml:space="preserve"> Philippines cũng rất muốn mở rộng </w:t>
      </w:r>
      <w:r w:rsidR="00E751FA">
        <w:rPr>
          <w:rFonts w:ascii="Times New Roman" w:hAnsi="Times New Roman" w:cs="Times New Roman"/>
          <w:sz w:val="26"/>
          <w:szCs w:val="26"/>
        </w:rPr>
        <w:t>thị trường này</w:t>
      </w:r>
      <w:r w:rsidRPr="009E1746">
        <w:rPr>
          <w:rFonts w:ascii="Times New Roman" w:hAnsi="Times New Roman" w:cs="Times New Roman"/>
          <w:sz w:val="26"/>
          <w:szCs w:val="26"/>
        </w:rPr>
        <w:t>.</w:t>
      </w:r>
      <w:proofErr w:type="gramEnd"/>
      <w:r w:rsidRPr="009E1746">
        <w:rPr>
          <w:rFonts w:ascii="Times New Roman" w:hAnsi="Times New Roman" w:cs="Times New Roman"/>
          <w:sz w:val="26"/>
          <w:szCs w:val="26"/>
        </w:rPr>
        <w:t xml:space="preserve"> Cebu Pacific và Philippines AirAsia </w:t>
      </w:r>
      <w:r w:rsidR="00E751FA">
        <w:rPr>
          <w:rFonts w:ascii="Times New Roman" w:hAnsi="Times New Roman" w:cs="Times New Roman"/>
          <w:sz w:val="26"/>
          <w:szCs w:val="26"/>
        </w:rPr>
        <w:t xml:space="preserve">đang </w:t>
      </w:r>
      <w:r w:rsidRPr="009E1746">
        <w:rPr>
          <w:rFonts w:ascii="Times New Roman" w:hAnsi="Times New Roman" w:cs="Times New Roman"/>
          <w:sz w:val="26"/>
          <w:szCs w:val="26"/>
        </w:rPr>
        <w:t>mở rộng đội tàu</w:t>
      </w:r>
      <w:r w:rsidR="00E751FA">
        <w:rPr>
          <w:rFonts w:ascii="Times New Roman" w:hAnsi="Times New Roman" w:cs="Times New Roman"/>
          <w:sz w:val="26"/>
          <w:szCs w:val="26"/>
        </w:rPr>
        <w:t xml:space="preserve"> để tăng cơ hội khai thác thị trường </w:t>
      </w:r>
      <w:r w:rsidR="00E751FA" w:rsidRPr="009E1746">
        <w:rPr>
          <w:rFonts w:ascii="Times New Roman" w:hAnsi="Times New Roman" w:cs="Times New Roman"/>
          <w:sz w:val="26"/>
          <w:szCs w:val="26"/>
        </w:rPr>
        <w:t>Philippines</w:t>
      </w:r>
      <w:r w:rsidRPr="009E1746">
        <w:rPr>
          <w:rFonts w:ascii="Times New Roman" w:hAnsi="Times New Roman" w:cs="Times New Roman"/>
          <w:sz w:val="26"/>
          <w:szCs w:val="26"/>
        </w:rPr>
        <w:t>.</w:t>
      </w:r>
    </w:p>
    <w:p w:rsidR="009E1746" w:rsidRPr="009E1746" w:rsidRDefault="009E1746" w:rsidP="009E1746">
      <w:pPr>
        <w:spacing w:before="120" w:after="120" w:line="312" w:lineRule="auto"/>
        <w:ind w:firstLine="720"/>
        <w:jc w:val="both"/>
        <w:rPr>
          <w:rFonts w:ascii="Times New Roman" w:hAnsi="Times New Roman" w:cs="Times New Roman"/>
          <w:sz w:val="26"/>
          <w:szCs w:val="26"/>
        </w:rPr>
      </w:pPr>
      <w:proofErr w:type="gramStart"/>
      <w:r w:rsidRPr="009E1746">
        <w:rPr>
          <w:rFonts w:ascii="Times New Roman" w:hAnsi="Times New Roman" w:cs="Times New Roman"/>
          <w:sz w:val="26"/>
          <w:szCs w:val="26"/>
        </w:rPr>
        <w:t xml:space="preserve">Trong số 60 tuyến đường nối Philippines với Bắc Á, </w:t>
      </w:r>
      <w:r>
        <w:rPr>
          <w:rFonts w:ascii="Times New Roman" w:hAnsi="Times New Roman" w:cs="Times New Roman"/>
          <w:sz w:val="26"/>
          <w:szCs w:val="26"/>
        </w:rPr>
        <w:t>các hãng LCC chiếm trên 41.</w:t>
      </w:r>
      <w:proofErr w:type="gramEnd"/>
    </w:p>
    <w:p w:rsidR="009E1746" w:rsidRPr="009E1746" w:rsidRDefault="009E1746" w:rsidP="009E1746">
      <w:pPr>
        <w:spacing w:before="120" w:after="120" w:line="312" w:lineRule="auto"/>
        <w:ind w:firstLine="720"/>
        <w:jc w:val="both"/>
        <w:rPr>
          <w:rFonts w:ascii="Times New Roman" w:hAnsi="Times New Roman" w:cs="Times New Roman"/>
          <w:sz w:val="26"/>
          <w:szCs w:val="26"/>
        </w:rPr>
      </w:pPr>
      <w:proofErr w:type="gramStart"/>
      <w:r w:rsidRPr="009E1746">
        <w:rPr>
          <w:rFonts w:ascii="Times New Roman" w:hAnsi="Times New Roman" w:cs="Times New Roman"/>
          <w:sz w:val="26"/>
          <w:szCs w:val="26"/>
        </w:rPr>
        <w:t>Trong năm qua, 16 tuyến Philippines-Bắc Á mới đã được đưa ra.</w:t>
      </w:r>
      <w:proofErr w:type="gramEnd"/>
      <w:r w:rsidRPr="009E1746">
        <w:rPr>
          <w:rFonts w:ascii="Times New Roman" w:hAnsi="Times New Roman" w:cs="Times New Roman"/>
          <w:sz w:val="26"/>
          <w:szCs w:val="26"/>
        </w:rPr>
        <w:t xml:space="preserve"> </w:t>
      </w:r>
      <w:proofErr w:type="gramStart"/>
      <w:r w:rsidRPr="009E1746">
        <w:rPr>
          <w:rFonts w:ascii="Times New Roman" w:hAnsi="Times New Roman" w:cs="Times New Roman"/>
          <w:sz w:val="26"/>
          <w:szCs w:val="26"/>
        </w:rPr>
        <w:t>LCC đã chiếm 13 trong số 16 lần phóng tuyến nà</w:t>
      </w:r>
      <w:r>
        <w:rPr>
          <w:rFonts w:ascii="Times New Roman" w:hAnsi="Times New Roman" w:cs="Times New Roman"/>
          <w:sz w:val="26"/>
          <w:szCs w:val="26"/>
        </w:rPr>
        <w:t>y.</w:t>
      </w:r>
      <w:proofErr w:type="gramEnd"/>
    </w:p>
    <w:p w:rsidR="009E1746" w:rsidRPr="009E1746"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Số lượng tuyến đường kết nối Philippines và Bắc Á sẽ tiếp tục tăng, dẫn đầu là</w:t>
      </w:r>
      <w:r w:rsidR="00E751FA">
        <w:rPr>
          <w:rFonts w:ascii="Times New Roman" w:hAnsi="Times New Roman" w:cs="Times New Roman"/>
          <w:sz w:val="26"/>
          <w:szCs w:val="26"/>
        </w:rPr>
        <w:t xml:space="preserve"> các </w:t>
      </w:r>
      <w:r w:rsidRPr="009E1746">
        <w:rPr>
          <w:rFonts w:ascii="Times New Roman" w:hAnsi="Times New Roman" w:cs="Times New Roman"/>
          <w:sz w:val="26"/>
          <w:szCs w:val="26"/>
        </w:rPr>
        <w:t>LCC. Do tắc nghẽn ở</w:t>
      </w:r>
      <w:r w:rsidR="001F7009">
        <w:rPr>
          <w:rFonts w:ascii="Times New Roman" w:hAnsi="Times New Roman" w:cs="Times New Roman"/>
          <w:sz w:val="26"/>
          <w:szCs w:val="26"/>
        </w:rPr>
        <w:t xml:space="preserve"> Manila nên</w:t>
      </w:r>
      <w:r w:rsidRPr="009E1746">
        <w:rPr>
          <w:rFonts w:ascii="Times New Roman" w:hAnsi="Times New Roman" w:cs="Times New Roman"/>
          <w:sz w:val="26"/>
          <w:szCs w:val="26"/>
        </w:rPr>
        <w:t xml:space="preserve"> Cebu và các sân bay thứ cấp nhỏ hơn sẽ được hưởng lợi khi LCC mở rộ</w:t>
      </w:r>
      <w:r>
        <w:rPr>
          <w:rFonts w:ascii="Times New Roman" w:hAnsi="Times New Roman" w:cs="Times New Roman"/>
          <w:sz w:val="26"/>
          <w:szCs w:val="26"/>
        </w:rPr>
        <w:t>ng.</w:t>
      </w:r>
    </w:p>
    <w:p w:rsidR="009E1746" w:rsidRPr="00FE50C3" w:rsidRDefault="009E1746" w:rsidP="009E1746">
      <w:pPr>
        <w:spacing w:before="120" w:after="120" w:line="312" w:lineRule="auto"/>
        <w:ind w:firstLine="720"/>
        <w:jc w:val="both"/>
        <w:rPr>
          <w:rFonts w:ascii="Times New Roman" w:hAnsi="Times New Roman" w:cs="Times New Roman"/>
          <w:sz w:val="26"/>
          <w:szCs w:val="26"/>
        </w:rPr>
      </w:pPr>
      <w:r w:rsidRPr="009E1746">
        <w:rPr>
          <w:rFonts w:ascii="Times New Roman" w:hAnsi="Times New Roman" w:cs="Times New Roman"/>
          <w:sz w:val="26"/>
          <w:szCs w:val="26"/>
        </w:rPr>
        <w:t>Cebu và hầu hết các sân bay thứ cấp là cửa ngõ đến các điểm du lịch nổi tiếng, khiến chúng trở nên hấp dẫn đối với các LCC Bắc Á í: Kalibo là cửa ngõ đến Boracay; Puerto Princesa và Tagbilaran là các cửa ngõ vào các hòn đảo bãi biển nổi tiếng của Palawan và Panglao.</w:t>
      </w:r>
    </w:p>
    <w:sectPr w:rsidR="009E1746" w:rsidRPr="00FE50C3" w:rsidSect="00457014">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2F" w:rsidRDefault="0057772F" w:rsidP="00AC37BB">
      <w:pPr>
        <w:spacing w:after="0" w:line="240" w:lineRule="auto"/>
      </w:pPr>
      <w:r>
        <w:separator/>
      </w:r>
    </w:p>
  </w:endnote>
  <w:endnote w:type="continuationSeparator" w:id="0">
    <w:p w:rsidR="0057772F" w:rsidRDefault="0057772F"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427431" w:rsidRDefault="00427431">
        <w:pPr>
          <w:pStyle w:val="Footer"/>
          <w:jc w:val="right"/>
        </w:pPr>
        <w:r>
          <w:fldChar w:fldCharType="begin"/>
        </w:r>
        <w:r>
          <w:instrText xml:space="preserve"> PAGE   \* MERGEFORMAT </w:instrText>
        </w:r>
        <w:r>
          <w:fldChar w:fldCharType="separate"/>
        </w:r>
        <w:r w:rsidR="004068A5">
          <w:rPr>
            <w:noProof/>
          </w:rPr>
          <w:t>2</w:t>
        </w:r>
        <w:r>
          <w:rPr>
            <w:noProof/>
          </w:rPr>
          <w:fldChar w:fldCharType="end"/>
        </w:r>
      </w:p>
    </w:sdtContent>
  </w:sdt>
  <w:p w:rsidR="00427431" w:rsidRDefault="0042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2F" w:rsidRDefault="0057772F" w:rsidP="00AC37BB">
      <w:pPr>
        <w:spacing w:after="0" w:line="240" w:lineRule="auto"/>
      </w:pPr>
      <w:r>
        <w:separator/>
      </w:r>
    </w:p>
  </w:footnote>
  <w:footnote w:type="continuationSeparator" w:id="0">
    <w:p w:rsidR="0057772F" w:rsidRDefault="0057772F"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15926"/>
    <w:multiLevelType w:val="multilevel"/>
    <w:tmpl w:val="939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618C7"/>
    <w:multiLevelType w:val="multilevel"/>
    <w:tmpl w:val="915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E626E"/>
    <w:multiLevelType w:val="hybridMultilevel"/>
    <w:tmpl w:val="4238D686"/>
    <w:lvl w:ilvl="0" w:tplc="80D4C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92296"/>
    <w:multiLevelType w:val="multilevel"/>
    <w:tmpl w:val="074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B10BA"/>
    <w:multiLevelType w:val="hybridMultilevel"/>
    <w:tmpl w:val="DC10F8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C2120"/>
    <w:multiLevelType w:val="multilevel"/>
    <w:tmpl w:val="1E1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75278"/>
    <w:multiLevelType w:val="multilevel"/>
    <w:tmpl w:val="20C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7D762C"/>
    <w:multiLevelType w:val="multilevel"/>
    <w:tmpl w:val="9CE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4"/>
  </w:num>
  <w:num w:numId="2">
    <w:abstractNumId w:val="19"/>
  </w:num>
  <w:num w:numId="3">
    <w:abstractNumId w:val="7"/>
  </w:num>
  <w:num w:numId="4">
    <w:abstractNumId w:val="12"/>
  </w:num>
  <w:num w:numId="5">
    <w:abstractNumId w:val="9"/>
  </w:num>
  <w:num w:numId="6">
    <w:abstractNumId w:val="0"/>
  </w:num>
  <w:num w:numId="7">
    <w:abstractNumId w:val="2"/>
  </w:num>
  <w:num w:numId="8">
    <w:abstractNumId w:val="13"/>
  </w:num>
  <w:num w:numId="9">
    <w:abstractNumId w:val="10"/>
  </w:num>
  <w:num w:numId="10">
    <w:abstractNumId w:val="11"/>
  </w:num>
  <w:num w:numId="11">
    <w:abstractNumId w:val="14"/>
  </w:num>
  <w:num w:numId="12">
    <w:abstractNumId w:val="22"/>
  </w:num>
  <w:num w:numId="13">
    <w:abstractNumId w:val="8"/>
  </w:num>
  <w:num w:numId="14">
    <w:abstractNumId w:val="16"/>
  </w:num>
  <w:num w:numId="15">
    <w:abstractNumId w:val="6"/>
  </w:num>
  <w:num w:numId="16">
    <w:abstractNumId w:val="17"/>
  </w:num>
  <w:num w:numId="17">
    <w:abstractNumId w:val="20"/>
  </w:num>
  <w:num w:numId="18">
    <w:abstractNumId w:val="4"/>
  </w:num>
  <w:num w:numId="19">
    <w:abstractNumId w:val="23"/>
  </w:num>
  <w:num w:numId="20">
    <w:abstractNumId w:val="1"/>
  </w:num>
  <w:num w:numId="21">
    <w:abstractNumId w:val="18"/>
  </w:num>
  <w:num w:numId="22">
    <w:abstractNumId w:val="21"/>
  </w:num>
  <w:num w:numId="23">
    <w:abstractNumId w:val="5"/>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43589"/>
    <w:rsid w:val="00054DC7"/>
    <w:rsid w:val="00055DF9"/>
    <w:rsid w:val="00057E29"/>
    <w:rsid w:val="00071AA5"/>
    <w:rsid w:val="0007459B"/>
    <w:rsid w:val="00076D54"/>
    <w:rsid w:val="00084867"/>
    <w:rsid w:val="000953B0"/>
    <w:rsid w:val="000A2230"/>
    <w:rsid w:val="000B1708"/>
    <w:rsid w:val="000B50DA"/>
    <w:rsid w:val="000C4D59"/>
    <w:rsid w:val="000D5052"/>
    <w:rsid w:val="000D7148"/>
    <w:rsid w:val="000E1F37"/>
    <w:rsid w:val="000F0568"/>
    <w:rsid w:val="000F05B9"/>
    <w:rsid w:val="000F08A1"/>
    <w:rsid w:val="000F7AE7"/>
    <w:rsid w:val="00104F07"/>
    <w:rsid w:val="00105E9D"/>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A02E1"/>
    <w:rsid w:val="001A6149"/>
    <w:rsid w:val="001A6689"/>
    <w:rsid w:val="001B139A"/>
    <w:rsid w:val="001B139B"/>
    <w:rsid w:val="001C4BF7"/>
    <w:rsid w:val="001D043E"/>
    <w:rsid w:val="001D2F4A"/>
    <w:rsid w:val="001D47E8"/>
    <w:rsid w:val="001E3F15"/>
    <w:rsid w:val="001E57FC"/>
    <w:rsid w:val="001F217C"/>
    <w:rsid w:val="001F7009"/>
    <w:rsid w:val="002048E3"/>
    <w:rsid w:val="0020733C"/>
    <w:rsid w:val="00211170"/>
    <w:rsid w:val="00211CF7"/>
    <w:rsid w:val="002207C7"/>
    <w:rsid w:val="002242EA"/>
    <w:rsid w:val="00230F3C"/>
    <w:rsid w:val="00232D3B"/>
    <w:rsid w:val="00236D50"/>
    <w:rsid w:val="002408E2"/>
    <w:rsid w:val="00243473"/>
    <w:rsid w:val="00244CD4"/>
    <w:rsid w:val="00246F5D"/>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D5F42"/>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1BE5"/>
    <w:rsid w:val="0036427B"/>
    <w:rsid w:val="003717E1"/>
    <w:rsid w:val="0037235A"/>
    <w:rsid w:val="003B07C5"/>
    <w:rsid w:val="003B42C1"/>
    <w:rsid w:val="003B4823"/>
    <w:rsid w:val="003B62B0"/>
    <w:rsid w:val="003C2A40"/>
    <w:rsid w:val="003C647A"/>
    <w:rsid w:val="003C74AE"/>
    <w:rsid w:val="003C75CE"/>
    <w:rsid w:val="003D1A69"/>
    <w:rsid w:val="003D4D75"/>
    <w:rsid w:val="003D6A27"/>
    <w:rsid w:val="003E2D58"/>
    <w:rsid w:val="003F30C7"/>
    <w:rsid w:val="003F3249"/>
    <w:rsid w:val="004005C1"/>
    <w:rsid w:val="00401A31"/>
    <w:rsid w:val="00405147"/>
    <w:rsid w:val="00405F21"/>
    <w:rsid w:val="004068A5"/>
    <w:rsid w:val="00427431"/>
    <w:rsid w:val="004314DD"/>
    <w:rsid w:val="00435BEF"/>
    <w:rsid w:val="00437F41"/>
    <w:rsid w:val="00441806"/>
    <w:rsid w:val="00444695"/>
    <w:rsid w:val="00451887"/>
    <w:rsid w:val="00456903"/>
    <w:rsid w:val="00457014"/>
    <w:rsid w:val="00463FB4"/>
    <w:rsid w:val="004700F2"/>
    <w:rsid w:val="00471BCA"/>
    <w:rsid w:val="0047269E"/>
    <w:rsid w:val="00476800"/>
    <w:rsid w:val="0047729E"/>
    <w:rsid w:val="00482E4C"/>
    <w:rsid w:val="00483AF0"/>
    <w:rsid w:val="00486C3D"/>
    <w:rsid w:val="004A1864"/>
    <w:rsid w:val="004A2FEE"/>
    <w:rsid w:val="004A6F50"/>
    <w:rsid w:val="004C1002"/>
    <w:rsid w:val="004C2166"/>
    <w:rsid w:val="004D1454"/>
    <w:rsid w:val="004E0D3E"/>
    <w:rsid w:val="004E1B23"/>
    <w:rsid w:val="004E2C83"/>
    <w:rsid w:val="004F1481"/>
    <w:rsid w:val="004F3BC7"/>
    <w:rsid w:val="005126F4"/>
    <w:rsid w:val="005158CE"/>
    <w:rsid w:val="00520DF5"/>
    <w:rsid w:val="0052120C"/>
    <w:rsid w:val="005257BB"/>
    <w:rsid w:val="00525B98"/>
    <w:rsid w:val="00534E0C"/>
    <w:rsid w:val="00535457"/>
    <w:rsid w:val="00536B77"/>
    <w:rsid w:val="0054641A"/>
    <w:rsid w:val="005704B2"/>
    <w:rsid w:val="005718F8"/>
    <w:rsid w:val="00574F09"/>
    <w:rsid w:val="0057772F"/>
    <w:rsid w:val="00577B8D"/>
    <w:rsid w:val="005838A0"/>
    <w:rsid w:val="005B0EE0"/>
    <w:rsid w:val="005B5D6D"/>
    <w:rsid w:val="005B784C"/>
    <w:rsid w:val="005C03DA"/>
    <w:rsid w:val="005D55B1"/>
    <w:rsid w:val="005E5765"/>
    <w:rsid w:val="005F2D19"/>
    <w:rsid w:val="005F6C1F"/>
    <w:rsid w:val="00600B47"/>
    <w:rsid w:val="006059BC"/>
    <w:rsid w:val="00605C29"/>
    <w:rsid w:val="00606F25"/>
    <w:rsid w:val="0062023F"/>
    <w:rsid w:val="00623FB2"/>
    <w:rsid w:val="00626C23"/>
    <w:rsid w:val="0063376E"/>
    <w:rsid w:val="00634F36"/>
    <w:rsid w:val="00636EC5"/>
    <w:rsid w:val="00637B37"/>
    <w:rsid w:val="00646D01"/>
    <w:rsid w:val="00656958"/>
    <w:rsid w:val="00661C32"/>
    <w:rsid w:val="006658D6"/>
    <w:rsid w:val="0066750D"/>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20B16"/>
    <w:rsid w:val="00734C48"/>
    <w:rsid w:val="00740CA3"/>
    <w:rsid w:val="007434EB"/>
    <w:rsid w:val="00745A2F"/>
    <w:rsid w:val="00747215"/>
    <w:rsid w:val="00747A0A"/>
    <w:rsid w:val="0075112F"/>
    <w:rsid w:val="00752A5A"/>
    <w:rsid w:val="00764005"/>
    <w:rsid w:val="007771F0"/>
    <w:rsid w:val="00783874"/>
    <w:rsid w:val="007840EA"/>
    <w:rsid w:val="00786503"/>
    <w:rsid w:val="00792CBF"/>
    <w:rsid w:val="0079328C"/>
    <w:rsid w:val="007935F1"/>
    <w:rsid w:val="007A0949"/>
    <w:rsid w:val="007A131A"/>
    <w:rsid w:val="007A2EA0"/>
    <w:rsid w:val="007A7875"/>
    <w:rsid w:val="007B1734"/>
    <w:rsid w:val="007B188E"/>
    <w:rsid w:val="007C582A"/>
    <w:rsid w:val="007D0342"/>
    <w:rsid w:val="007D1810"/>
    <w:rsid w:val="007D4AF1"/>
    <w:rsid w:val="007E110B"/>
    <w:rsid w:val="007E6D02"/>
    <w:rsid w:val="007F4BA3"/>
    <w:rsid w:val="007F599E"/>
    <w:rsid w:val="007F6861"/>
    <w:rsid w:val="008119C9"/>
    <w:rsid w:val="0081400C"/>
    <w:rsid w:val="00816DF5"/>
    <w:rsid w:val="00820E4B"/>
    <w:rsid w:val="00825D1F"/>
    <w:rsid w:val="00827489"/>
    <w:rsid w:val="0083030D"/>
    <w:rsid w:val="008357CB"/>
    <w:rsid w:val="008358A0"/>
    <w:rsid w:val="008449D2"/>
    <w:rsid w:val="0085727E"/>
    <w:rsid w:val="00873A76"/>
    <w:rsid w:val="00877DA4"/>
    <w:rsid w:val="00887156"/>
    <w:rsid w:val="008A11E6"/>
    <w:rsid w:val="008A16E4"/>
    <w:rsid w:val="008A61F6"/>
    <w:rsid w:val="008B56EB"/>
    <w:rsid w:val="008B76D4"/>
    <w:rsid w:val="008B7BAE"/>
    <w:rsid w:val="008C5C2B"/>
    <w:rsid w:val="008E2BF1"/>
    <w:rsid w:val="008E6967"/>
    <w:rsid w:val="008F5805"/>
    <w:rsid w:val="008F76F2"/>
    <w:rsid w:val="00915895"/>
    <w:rsid w:val="009236F3"/>
    <w:rsid w:val="00933F3F"/>
    <w:rsid w:val="00956550"/>
    <w:rsid w:val="0096581A"/>
    <w:rsid w:val="009659D7"/>
    <w:rsid w:val="009672EA"/>
    <w:rsid w:val="00970A56"/>
    <w:rsid w:val="00970F3E"/>
    <w:rsid w:val="00973B10"/>
    <w:rsid w:val="00990367"/>
    <w:rsid w:val="009A1155"/>
    <w:rsid w:val="009A1FF7"/>
    <w:rsid w:val="009A3474"/>
    <w:rsid w:val="009A4773"/>
    <w:rsid w:val="009B0EFF"/>
    <w:rsid w:val="009B21FC"/>
    <w:rsid w:val="009B4B03"/>
    <w:rsid w:val="009B636F"/>
    <w:rsid w:val="009C186F"/>
    <w:rsid w:val="009C2743"/>
    <w:rsid w:val="009C35ED"/>
    <w:rsid w:val="009C6465"/>
    <w:rsid w:val="009C6E02"/>
    <w:rsid w:val="009D11AC"/>
    <w:rsid w:val="009D1EE5"/>
    <w:rsid w:val="009D2D8B"/>
    <w:rsid w:val="009E1746"/>
    <w:rsid w:val="009E3B62"/>
    <w:rsid w:val="009F00BF"/>
    <w:rsid w:val="00A11215"/>
    <w:rsid w:val="00A216A1"/>
    <w:rsid w:val="00A27F0B"/>
    <w:rsid w:val="00A33FE5"/>
    <w:rsid w:val="00A561ED"/>
    <w:rsid w:val="00A607A0"/>
    <w:rsid w:val="00A67958"/>
    <w:rsid w:val="00A713DD"/>
    <w:rsid w:val="00A735D0"/>
    <w:rsid w:val="00A76FB3"/>
    <w:rsid w:val="00A77111"/>
    <w:rsid w:val="00A7736A"/>
    <w:rsid w:val="00A84875"/>
    <w:rsid w:val="00A94D0D"/>
    <w:rsid w:val="00AA3BCD"/>
    <w:rsid w:val="00AB59D5"/>
    <w:rsid w:val="00AB7770"/>
    <w:rsid w:val="00AC37BB"/>
    <w:rsid w:val="00AC5E3F"/>
    <w:rsid w:val="00AE28E3"/>
    <w:rsid w:val="00AE314D"/>
    <w:rsid w:val="00AF0D54"/>
    <w:rsid w:val="00AF4342"/>
    <w:rsid w:val="00B039DF"/>
    <w:rsid w:val="00B07499"/>
    <w:rsid w:val="00B14240"/>
    <w:rsid w:val="00B16F45"/>
    <w:rsid w:val="00B1771A"/>
    <w:rsid w:val="00B2372D"/>
    <w:rsid w:val="00B27B03"/>
    <w:rsid w:val="00B360F6"/>
    <w:rsid w:val="00B53FED"/>
    <w:rsid w:val="00B55A86"/>
    <w:rsid w:val="00B65511"/>
    <w:rsid w:val="00B8211C"/>
    <w:rsid w:val="00B82E29"/>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6AC9"/>
    <w:rsid w:val="00C85603"/>
    <w:rsid w:val="00C86AFA"/>
    <w:rsid w:val="00C90639"/>
    <w:rsid w:val="00C94C0A"/>
    <w:rsid w:val="00C967BF"/>
    <w:rsid w:val="00C967FC"/>
    <w:rsid w:val="00CA3E3B"/>
    <w:rsid w:val="00CC39A1"/>
    <w:rsid w:val="00CE3F12"/>
    <w:rsid w:val="00CE4251"/>
    <w:rsid w:val="00CF2A09"/>
    <w:rsid w:val="00D107FA"/>
    <w:rsid w:val="00D1127E"/>
    <w:rsid w:val="00D225C7"/>
    <w:rsid w:val="00D24C19"/>
    <w:rsid w:val="00D32E14"/>
    <w:rsid w:val="00D366A3"/>
    <w:rsid w:val="00D36E27"/>
    <w:rsid w:val="00D42714"/>
    <w:rsid w:val="00D4492C"/>
    <w:rsid w:val="00D44FCB"/>
    <w:rsid w:val="00D47E8D"/>
    <w:rsid w:val="00D5419C"/>
    <w:rsid w:val="00D5539A"/>
    <w:rsid w:val="00D56CA0"/>
    <w:rsid w:val="00D571CC"/>
    <w:rsid w:val="00D94EC9"/>
    <w:rsid w:val="00D95EB0"/>
    <w:rsid w:val="00DA7978"/>
    <w:rsid w:val="00DC2A1D"/>
    <w:rsid w:val="00DC4130"/>
    <w:rsid w:val="00DF526A"/>
    <w:rsid w:val="00DF62A1"/>
    <w:rsid w:val="00E10AEE"/>
    <w:rsid w:val="00E252B7"/>
    <w:rsid w:val="00E35CB6"/>
    <w:rsid w:val="00E36630"/>
    <w:rsid w:val="00E41E06"/>
    <w:rsid w:val="00E45F4B"/>
    <w:rsid w:val="00E466F8"/>
    <w:rsid w:val="00E540D1"/>
    <w:rsid w:val="00E62494"/>
    <w:rsid w:val="00E64E52"/>
    <w:rsid w:val="00E6584F"/>
    <w:rsid w:val="00E705CC"/>
    <w:rsid w:val="00E751FA"/>
    <w:rsid w:val="00E804B8"/>
    <w:rsid w:val="00E82BE4"/>
    <w:rsid w:val="00E91310"/>
    <w:rsid w:val="00EA04DA"/>
    <w:rsid w:val="00EB066A"/>
    <w:rsid w:val="00EC78E0"/>
    <w:rsid w:val="00ED5EC1"/>
    <w:rsid w:val="00EE0472"/>
    <w:rsid w:val="00EE602B"/>
    <w:rsid w:val="00EF230E"/>
    <w:rsid w:val="00EF5EDA"/>
    <w:rsid w:val="00F01B5E"/>
    <w:rsid w:val="00F02B08"/>
    <w:rsid w:val="00F03FD4"/>
    <w:rsid w:val="00F14994"/>
    <w:rsid w:val="00F16A66"/>
    <w:rsid w:val="00F17990"/>
    <w:rsid w:val="00F2136D"/>
    <w:rsid w:val="00F24B78"/>
    <w:rsid w:val="00F2609E"/>
    <w:rsid w:val="00F26161"/>
    <w:rsid w:val="00F26B36"/>
    <w:rsid w:val="00F30046"/>
    <w:rsid w:val="00F30A30"/>
    <w:rsid w:val="00F37BC6"/>
    <w:rsid w:val="00F42A91"/>
    <w:rsid w:val="00F43588"/>
    <w:rsid w:val="00F5037D"/>
    <w:rsid w:val="00F526CE"/>
    <w:rsid w:val="00F53220"/>
    <w:rsid w:val="00F573B3"/>
    <w:rsid w:val="00F74E5E"/>
    <w:rsid w:val="00F851BC"/>
    <w:rsid w:val="00F935A7"/>
    <w:rsid w:val="00FA5487"/>
    <w:rsid w:val="00FC4871"/>
    <w:rsid w:val="00FE0152"/>
    <w:rsid w:val="00FE50C3"/>
    <w:rsid w:val="00FE75DB"/>
    <w:rsid w:val="00FE7969"/>
    <w:rsid w:val="00FF2E64"/>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0F3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067">
      <w:bodyDiv w:val="1"/>
      <w:marLeft w:val="0"/>
      <w:marRight w:val="0"/>
      <w:marTop w:val="0"/>
      <w:marBottom w:val="0"/>
      <w:divBdr>
        <w:top w:val="none" w:sz="0" w:space="0" w:color="auto"/>
        <w:left w:val="none" w:sz="0" w:space="0" w:color="auto"/>
        <w:bottom w:val="none" w:sz="0" w:space="0" w:color="auto"/>
        <w:right w:val="none" w:sz="0" w:space="0" w:color="auto"/>
      </w:divBdr>
    </w:div>
    <w:div w:id="40567512">
      <w:bodyDiv w:val="1"/>
      <w:marLeft w:val="0"/>
      <w:marRight w:val="0"/>
      <w:marTop w:val="0"/>
      <w:marBottom w:val="0"/>
      <w:divBdr>
        <w:top w:val="none" w:sz="0" w:space="0" w:color="auto"/>
        <w:left w:val="none" w:sz="0" w:space="0" w:color="auto"/>
        <w:bottom w:val="none" w:sz="0" w:space="0" w:color="auto"/>
        <w:right w:val="none" w:sz="0" w:space="0" w:color="auto"/>
      </w:divBdr>
    </w:div>
    <w:div w:id="44065431">
      <w:bodyDiv w:val="1"/>
      <w:marLeft w:val="0"/>
      <w:marRight w:val="0"/>
      <w:marTop w:val="0"/>
      <w:marBottom w:val="0"/>
      <w:divBdr>
        <w:top w:val="none" w:sz="0" w:space="0" w:color="auto"/>
        <w:left w:val="none" w:sz="0" w:space="0" w:color="auto"/>
        <w:bottom w:val="none" w:sz="0" w:space="0" w:color="auto"/>
        <w:right w:val="none" w:sz="0" w:space="0" w:color="auto"/>
      </w:divBdr>
    </w:div>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07055093">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341665297">
      <w:bodyDiv w:val="1"/>
      <w:marLeft w:val="0"/>
      <w:marRight w:val="0"/>
      <w:marTop w:val="0"/>
      <w:marBottom w:val="0"/>
      <w:divBdr>
        <w:top w:val="none" w:sz="0" w:space="0" w:color="auto"/>
        <w:left w:val="none" w:sz="0" w:space="0" w:color="auto"/>
        <w:bottom w:val="none" w:sz="0" w:space="0" w:color="auto"/>
        <w:right w:val="none" w:sz="0" w:space="0" w:color="auto"/>
      </w:divBdr>
      <w:divsChild>
        <w:div w:id="1637031240">
          <w:marLeft w:val="0"/>
          <w:marRight w:val="0"/>
          <w:marTop w:val="0"/>
          <w:marBottom w:val="0"/>
          <w:divBdr>
            <w:top w:val="none" w:sz="0" w:space="0" w:color="auto"/>
            <w:left w:val="none" w:sz="0" w:space="0" w:color="auto"/>
            <w:bottom w:val="none" w:sz="0" w:space="0" w:color="auto"/>
            <w:right w:val="none" w:sz="0" w:space="0" w:color="auto"/>
          </w:divBdr>
        </w:div>
        <w:div w:id="1532844387">
          <w:marLeft w:val="0"/>
          <w:marRight w:val="0"/>
          <w:marTop w:val="0"/>
          <w:marBottom w:val="0"/>
          <w:divBdr>
            <w:top w:val="none" w:sz="0" w:space="0" w:color="auto"/>
            <w:left w:val="none" w:sz="0" w:space="0" w:color="auto"/>
            <w:bottom w:val="none" w:sz="0" w:space="0" w:color="auto"/>
            <w:right w:val="none" w:sz="0" w:space="0" w:color="auto"/>
          </w:divBdr>
        </w:div>
        <w:div w:id="1065296024">
          <w:marLeft w:val="0"/>
          <w:marRight w:val="0"/>
          <w:marTop w:val="0"/>
          <w:marBottom w:val="0"/>
          <w:divBdr>
            <w:top w:val="none" w:sz="0" w:space="0" w:color="auto"/>
            <w:left w:val="none" w:sz="0" w:space="0" w:color="auto"/>
            <w:bottom w:val="none" w:sz="0" w:space="0" w:color="auto"/>
            <w:right w:val="none" w:sz="0" w:space="0" w:color="auto"/>
          </w:divBdr>
        </w:div>
        <w:div w:id="2015642099">
          <w:marLeft w:val="0"/>
          <w:marRight w:val="0"/>
          <w:marTop w:val="0"/>
          <w:marBottom w:val="0"/>
          <w:divBdr>
            <w:top w:val="none" w:sz="0" w:space="0" w:color="auto"/>
            <w:left w:val="none" w:sz="0" w:space="0" w:color="auto"/>
            <w:bottom w:val="none" w:sz="0" w:space="0" w:color="auto"/>
            <w:right w:val="none" w:sz="0" w:space="0" w:color="auto"/>
          </w:divBdr>
        </w:div>
        <w:div w:id="326397644">
          <w:marLeft w:val="0"/>
          <w:marRight w:val="0"/>
          <w:marTop w:val="0"/>
          <w:marBottom w:val="0"/>
          <w:divBdr>
            <w:top w:val="none" w:sz="0" w:space="0" w:color="auto"/>
            <w:left w:val="none" w:sz="0" w:space="0" w:color="auto"/>
            <w:bottom w:val="none" w:sz="0" w:space="0" w:color="auto"/>
            <w:right w:val="none" w:sz="0" w:space="0" w:color="auto"/>
          </w:divBdr>
        </w:div>
        <w:div w:id="1056973026">
          <w:marLeft w:val="0"/>
          <w:marRight w:val="0"/>
          <w:marTop w:val="0"/>
          <w:marBottom w:val="0"/>
          <w:divBdr>
            <w:top w:val="none" w:sz="0" w:space="0" w:color="auto"/>
            <w:left w:val="none" w:sz="0" w:space="0" w:color="auto"/>
            <w:bottom w:val="none" w:sz="0" w:space="0" w:color="auto"/>
            <w:right w:val="none" w:sz="0" w:space="0" w:color="auto"/>
          </w:divBdr>
        </w:div>
        <w:div w:id="182211552">
          <w:marLeft w:val="0"/>
          <w:marRight w:val="0"/>
          <w:marTop w:val="0"/>
          <w:marBottom w:val="0"/>
          <w:divBdr>
            <w:top w:val="none" w:sz="0" w:space="0" w:color="auto"/>
            <w:left w:val="none" w:sz="0" w:space="0" w:color="auto"/>
            <w:bottom w:val="none" w:sz="0" w:space="0" w:color="auto"/>
            <w:right w:val="none" w:sz="0" w:space="0" w:color="auto"/>
          </w:divBdr>
        </w:div>
      </w:divsChild>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33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6394228">
      <w:bodyDiv w:val="1"/>
      <w:marLeft w:val="0"/>
      <w:marRight w:val="0"/>
      <w:marTop w:val="0"/>
      <w:marBottom w:val="0"/>
      <w:divBdr>
        <w:top w:val="none" w:sz="0" w:space="0" w:color="auto"/>
        <w:left w:val="none" w:sz="0" w:space="0" w:color="auto"/>
        <w:bottom w:val="none" w:sz="0" w:space="0" w:color="auto"/>
        <w:right w:val="none" w:sz="0" w:space="0" w:color="auto"/>
      </w:divBdr>
    </w:div>
    <w:div w:id="794759869">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835904">
      <w:bodyDiv w:val="1"/>
      <w:marLeft w:val="0"/>
      <w:marRight w:val="0"/>
      <w:marTop w:val="0"/>
      <w:marBottom w:val="0"/>
      <w:divBdr>
        <w:top w:val="none" w:sz="0" w:space="0" w:color="auto"/>
        <w:left w:val="none" w:sz="0" w:space="0" w:color="auto"/>
        <w:bottom w:val="none" w:sz="0" w:space="0" w:color="auto"/>
        <w:right w:val="none" w:sz="0" w:space="0" w:color="auto"/>
      </w:divBdr>
    </w:div>
    <w:div w:id="1077484096">
      <w:bodyDiv w:val="1"/>
      <w:marLeft w:val="0"/>
      <w:marRight w:val="0"/>
      <w:marTop w:val="0"/>
      <w:marBottom w:val="0"/>
      <w:divBdr>
        <w:top w:val="none" w:sz="0" w:space="0" w:color="auto"/>
        <w:left w:val="none" w:sz="0" w:space="0" w:color="auto"/>
        <w:bottom w:val="none" w:sz="0" w:space="0" w:color="auto"/>
        <w:right w:val="none" w:sz="0" w:space="0" w:color="auto"/>
      </w:divBdr>
    </w:div>
    <w:div w:id="1125856725">
      <w:bodyDiv w:val="1"/>
      <w:marLeft w:val="0"/>
      <w:marRight w:val="0"/>
      <w:marTop w:val="0"/>
      <w:marBottom w:val="0"/>
      <w:divBdr>
        <w:top w:val="none" w:sz="0" w:space="0" w:color="auto"/>
        <w:left w:val="none" w:sz="0" w:space="0" w:color="auto"/>
        <w:bottom w:val="none" w:sz="0" w:space="0" w:color="auto"/>
        <w:right w:val="none" w:sz="0" w:space="0" w:color="auto"/>
      </w:divBdr>
    </w:div>
    <w:div w:id="1149903055">
      <w:bodyDiv w:val="1"/>
      <w:marLeft w:val="0"/>
      <w:marRight w:val="0"/>
      <w:marTop w:val="0"/>
      <w:marBottom w:val="0"/>
      <w:divBdr>
        <w:top w:val="none" w:sz="0" w:space="0" w:color="auto"/>
        <w:left w:val="none" w:sz="0" w:space="0" w:color="auto"/>
        <w:bottom w:val="none" w:sz="0" w:space="0" w:color="auto"/>
        <w:right w:val="none" w:sz="0" w:space="0" w:color="auto"/>
      </w:divBdr>
    </w:div>
    <w:div w:id="1154371222">
      <w:bodyDiv w:val="1"/>
      <w:marLeft w:val="0"/>
      <w:marRight w:val="0"/>
      <w:marTop w:val="0"/>
      <w:marBottom w:val="0"/>
      <w:divBdr>
        <w:top w:val="none" w:sz="0" w:space="0" w:color="auto"/>
        <w:left w:val="none" w:sz="0" w:space="0" w:color="auto"/>
        <w:bottom w:val="none" w:sz="0" w:space="0" w:color="auto"/>
        <w:right w:val="none" w:sz="0" w:space="0" w:color="auto"/>
      </w:divBdr>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21023017">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464352483">
      <w:bodyDiv w:val="1"/>
      <w:marLeft w:val="0"/>
      <w:marRight w:val="0"/>
      <w:marTop w:val="0"/>
      <w:marBottom w:val="0"/>
      <w:divBdr>
        <w:top w:val="none" w:sz="0" w:space="0" w:color="auto"/>
        <w:left w:val="none" w:sz="0" w:space="0" w:color="auto"/>
        <w:bottom w:val="none" w:sz="0" w:space="0" w:color="auto"/>
        <w:right w:val="none" w:sz="0" w:space="0" w:color="auto"/>
      </w:divBdr>
      <w:divsChild>
        <w:div w:id="1325161334">
          <w:marLeft w:val="0"/>
          <w:marRight w:val="0"/>
          <w:marTop w:val="480"/>
          <w:marBottom w:val="0"/>
          <w:divBdr>
            <w:top w:val="none" w:sz="0" w:space="0" w:color="auto"/>
            <w:left w:val="none" w:sz="0" w:space="0" w:color="auto"/>
            <w:bottom w:val="none" w:sz="0" w:space="0" w:color="auto"/>
            <w:right w:val="none" w:sz="0" w:space="0" w:color="auto"/>
          </w:divBdr>
        </w:div>
      </w:divsChild>
    </w:div>
    <w:div w:id="1487429132">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698000589">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19629499">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18724068">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centreforaviation.com/data/profiles/airlines/transportes-aereos-guatemaltecos-5u"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centreforaviation.com/data/profiles/airports/tagbilaran-airport-t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Số</a:t>
            </a:r>
            <a:r>
              <a:rPr lang="en-US" sz="1400" baseline="0">
                <a:latin typeface="Times New Roman" pitchFamily="18" charset="0"/>
                <a:cs typeface="Times New Roman" pitchFamily="18" charset="0"/>
              </a:rPr>
              <a:t> lượng tàu qua cảng của Singapore (chiếc)</a:t>
            </a:r>
            <a:endParaRPr lang="en-US" sz="14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Sheet1!$B$1:$AC$1</c:f>
              <c:strCache>
                <c:ptCount val="2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strCache>
            </c:strRef>
          </c:cat>
          <c:val>
            <c:numRef>
              <c:f>Sheet1!$B$2:$AC$2</c:f>
              <c:numCache>
                <c:formatCode>#,##0.0</c:formatCode>
                <c:ptCount val="28"/>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pt idx="25">
                  <c:v>10275</c:v>
                </c:pt>
                <c:pt idx="26" formatCode="#,##0">
                  <c:v>11509</c:v>
                </c:pt>
                <c:pt idx="27" formatCode="#,##0">
                  <c:v>11243</c:v>
                </c:pt>
              </c:numCache>
            </c:numRef>
          </c:val>
          <c:smooth val="0"/>
        </c:ser>
        <c:dLbls>
          <c:showLegendKey val="0"/>
          <c:showVal val="0"/>
          <c:showCatName val="0"/>
          <c:showSerName val="0"/>
          <c:showPercent val="0"/>
          <c:showBubbleSize val="0"/>
        </c:dLbls>
        <c:marker val="1"/>
        <c:smooth val="0"/>
        <c:axId val="159867392"/>
        <c:axId val="153050432"/>
      </c:lineChart>
      <c:catAx>
        <c:axId val="15986739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53050432"/>
        <c:crosses val="autoZero"/>
        <c:auto val="1"/>
        <c:lblAlgn val="ctr"/>
        <c:lblOffset val="100"/>
        <c:noMultiLvlLbl val="0"/>
      </c:catAx>
      <c:valAx>
        <c:axId val="153050432"/>
        <c:scaling>
          <c:orientation val="minMax"/>
        </c:scaling>
        <c:delete val="0"/>
        <c:axPos val="l"/>
        <c:majorGridlines/>
        <c:numFmt formatCode="#,##0.0" sourceLinked="1"/>
        <c:majorTickMark val="out"/>
        <c:minorTickMark val="none"/>
        <c:tickLblPos val="nextTo"/>
        <c:crossAx val="159867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Sheet1!$B$1:$AC$1</c:f>
              <c:strCache>
                <c:ptCount val="2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strCache>
            </c:strRef>
          </c:cat>
          <c:val>
            <c:numRef>
              <c:f>Sheet1!$B$3:$AC$3</c:f>
              <c:numCache>
                <c:formatCode>#,##0.0</c:formatCode>
                <c:ptCount val="28"/>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formatCode="#,##0.00">
                  <c:v>51929.4</c:v>
                </c:pt>
                <c:pt idx="25" formatCode="#,##0.00">
                  <c:v>47962.1</c:v>
                </c:pt>
                <c:pt idx="26" formatCode="#,##0.00">
                  <c:v>52019.6</c:v>
                </c:pt>
                <c:pt idx="27" formatCode="#,##0.00">
                  <c:v>53807.1</c:v>
                </c:pt>
              </c:numCache>
            </c:numRef>
          </c:val>
          <c:smooth val="0"/>
        </c:ser>
        <c:dLbls>
          <c:showLegendKey val="0"/>
          <c:showVal val="0"/>
          <c:showCatName val="0"/>
          <c:showSerName val="0"/>
          <c:showPercent val="0"/>
          <c:showBubbleSize val="0"/>
        </c:dLbls>
        <c:marker val="1"/>
        <c:smooth val="0"/>
        <c:axId val="159868416"/>
        <c:axId val="160490624"/>
      </c:lineChart>
      <c:catAx>
        <c:axId val="159868416"/>
        <c:scaling>
          <c:orientation val="minMax"/>
        </c:scaling>
        <c:delete val="0"/>
        <c:axPos val="b"/>
        <c:numFmt formatCode="#,##0.0" sourceLinked="1"/>
        <c:majorTickMark val="out"/>
        <c:minorTickMark val="none"/>
        <c:tickLblPos val="nextTo"/>
        <c:crossAx val="160490624"/>
        <c:crosses val="autoZero"/>
        <c:auto val="1"/>
        <c:lblAlgn val="ctr"/>
        <c:lblOffset val="100"/>
        <c:noMultiLvlLbl val="0"/>
      </c:catAx>
      <c:valAx>
        <c:axId val="160490624"/>
        <c:scaling>
          <c:orientation val="minMax"/>
        </c:scaling>
        <c:delete val="0"/>
        <c:axPos val="l"/>
        <c:majorGridlines/>
        <c:numFmt formatCode="#,##0.0" sourceLinked="1"/>
        <c:majorTickMark val="out"/>
        <c:minorTickMark val="none"/>
        <c:tickLblPos val="nextTo"/>
        <c:crossAx val="1598684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600"/>
              <a:t>Tổng lưu lượng container quy ra </a:t>
            </a:r>
            <a:endParaRPr lang="en-US" sz="1600"/>
          </a:p>
          <a:p>
            <a:pPr>
              <a:defRPr/>
            </a:pPr>
            <a:r>
              <a:rPr lang="en-US" sz="1600"/>
              <a:t>cont </a:t>
            </a:r>
            <a:r>
              <a:rPr lang="vi-VN" sz="1600"/>
              <a:t>20 fit (</a:t>
            </a:r>
            <a:r>
              <a:rPr lang="en-US" sz="1600"/>
              <a:t>Đvt: 1</a:t>
            </a:r>
            <a:r>
              <a:rPr lang="vi-VN" sz="1600"/>
              <a:t>000 TEUs)</a:t>
            </a:r>
          </a:p>
        </c:rich>
      </c:tx>
      <c:overlay val="0"/>
    </c:title>
    <c:autoTitleDeleted val="0"/>
    <c:plotArea>
      <c:layout/>
      <c:lineChart>
        <c:grouping val="standard"/>
        <c:varyColors val="0"/>
        <c:ser>
          <c:idx val="0"/>
          <c:order val="0"/>
          <c:cat>
            <c:strRef>
              <c:f>Sheet1!$B$1:$AC$1</c:f>
              <c:strCache>
                <c:ptCount val="2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strCache>
            </c:strRef>
          </c:cat>
          <c:val>
            <c:numRef>
              <c:f>Sheet1!$B$4:$AC$4</c:f>
              <c:numCache>
                <c:formatCode>#,##0.0</c:formatCode>
                <c:ptCount val="28"/>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formatCode="#,##0.00">
                  <c:v>2999.1</c:v>
                </c:pt>
                <c:pt idx="25" formatCode="#,##0.00">
                  <c:v>2740.5</c:v>
                </c:pt>
                <c:pt idx="26" formatCode="#,##0.00">
                  <c:v>3163.9</c:v>
                </c:pt>
                <c:pt idx="27" formatCode="#,##0.00">
                  <c:v>2992.1</c:v>
                </c:pt>
              </c:numCache>
            </c:numRef>
          </c:val>
          <c:smooth val="0"/>
        </c:ser>
        <c:dLbls>
          <c:showLegendKey val="0"/>
          <c:showVal val="0"/>
          <c:showCatName val="0"/>
          <c:showSerName val="0"/>
          <c:showPercent val="0"/>
          <c:showBubbleSize val="0"/>
        </c:dLbls>
        <c:marker val="1"/>
        <c:smooth val="0"/>
        <c:axId val="185400320"/>
        <c:axId val="160492352"/>
      </c:lineChart>
      <c:catAx>
        <c:axId val="185400320"/>
        <c:scaling>
          <c:orientation val="minMax"/>
        </c:scaling>
        <c:delete val="0"/>
        <c:axPos val="b"/>
        <c:majorTickMark val="out"/>
        <c:minorTickMark val="none"/>
        <c:tickLblPos val="nextTo"/>
        <c:crossAx val="160492352"/>
        <c:crosses val="autoZero"/>
        <c:auto val="1"/>
        <c:lblAlgn val="ctr"/>
        <c:lblOffset val="100"/>
        <c:noMultiLvlLbl val="0"/>
      </c:catAx>
      <c:valAx>
        <c:axId val="160492352"/>
        <c:scaling>
          <c:orientation val="minMax"/>
        </c:scaling>
        <c:delete val="0"/>
        <c:axPos val="l"/>
        <c:majorGridlines/>
        <c:numFmt formatCode="#,##0.0" sourceLinked="1"/>
        <c:majorTickMark val="out"/>
        <c:minorTickMark val="none"/>
        <c:tickLblPos val="nextTo"/>
        <c:crossAx val="18540032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A944-8272-4C5D-B266-70C58AE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23079</TotalTime>
  <Pages>22</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134</cp:revision>
  <dcterms:created xsi:type="dcterms:W3CDTF">2018-04-26T04:07:00Z</dcterms:created>
  <dcterms:modified xsi:type="dcterms:W3CDTF">2019-05-30T07:15:00Z</dcterms:modified>
</cp:coreProperties>
</file>